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5027" w14:textId="77777777" w:rsidR="00B03171" w:rsidRPr="009D655D" w:rsidRDefault="0050176B" w:rsidP="00921E11">
      <w:pPr>
        <w:spacing w:after="0" w:line="240" w:lineRule="auto"/>
        <w:rPr>
          <w:rFonts w:ascii="Arial" w:hAnsi="Arial" w:cs="Arial"/>
          <w:b/>
          <w:i/>
          <w:sz w:val="24"/>
          <w:szCs w:val="24"/>
          <w:u w:val="single"/>
        </w:rPr>
      </w:pPr>
      <w:r w:rsidRPr="009D655D">
        <w:rPr>
          <w:rFonts w:ascii="Arial" w:hAnsi="Arial" w:cs="Arial"/>
          <w:b/>
          <w:i/>
          <w:sz w:val="24"/>
          <w:szCs w:val="24"/>
          <w:u w:val="single"/>
        </w:rPr>
        <w:t xml:space="preserve">Permit Number &amp; </w:t>
      </w:r>
      <w:r w:rsidRPr="009D655D">
        <w:rPr>
          <w:rStyle w:val="Strong"/>
          <w:rFonts w:ascii="Arial" w:hAnsi="Arial" w:cs="Arial"/>
          <w:i/>
          <w:sz w:val="24"/>
          <w:szCs w:val="24"/>
          <w:u w:val="single"/>
          <w:bdr w:val="none" w:sz="0" w:space="0" w:color="auto" w:frame="1"/>
        </w:rPr>
        <w:t>Headline Title:</w:t>
      </w:r>
    </w:p>
    <w:p w14:paraId="4E1EC30E" w14:textId="0B335653" w:rsidR="00553B94" w:rsidRPr="009D655D" w:rsidRDefault="008241E8" w:rsidP="00921E11">
      <w:pPr>
        <w:spacing w:after="0" w:line="240" w:lineRule="auto"/>
        <w:rPr>
          <w:rFonts w:ascii="Arial" w:hAnsi="Arial" w:cs="Arial"/>
          <w:sz w:val="24"/>
          <w:szCs w:val="24"/>
        </w:rPr>
      </w:pPr>
      <w:r w:rsidRPr="009D655D">
        <w:rPr>
          <w:rStyle w:val="Strong"/>
          <w:rFonts w:ascii="Arial" w:hAnsi="Arial" w:cs="Arial"/>
          <w:b w:val="0"/>
          <w:sz w:val="24"/>
          <w:szCs w:val="24"/>
          <w:bdr w:val="none" w:sz="0" w:space="0" w:color="auto" w:frame="1"/>
        </w:rPr>
        <w:t>Public Notice of</w:t>
      </w:r>
      <w:r w:rsidR="002D3E84">
        <w:rPr>
          <w:rStyle w:val="Strong"/>
          <w:rFonts w:ascii="Arial" w:hAnsi="Arial" w:cs="Arial"/>
          <w:b w:val="0"/>
          <w:sz w:val="24"/>
          <w:szCs w:val="24"/>
          <w:bdr w:val="none" w:sz="0" w:space="0" w:color="auto" w:frame="1"/>
        </w:rPr>
        <w:t xml:space="preserve"> Mitigation Bank Enabling Instrument (BEI) Template Availability</w:t>
      </w:r>
    </w:p>
    <w:p w14:paraId="0D2DD697" w14:textId="77777777" w:rsidR="008241E8" w:rsidRPr="009D655D" w:rsidRDefault="008241E8" w:rsidP="00921E11">
      <w:pPr>
        <w:spacing w:after="0" w:line="240" w:lineRule="auto"/>
        <w:rPr>
          <w:rFonts w:ascii="Arial" w:hAnsi="Arial" w:cs="Arial"/>
          <w:sz w:val="24"/>
          <w:szCs w:val="24"/>
        </w:rPr>
      </w:pPr>
    </w:p>
    <w:p w14:paraId="68A21C9A" w14:textId="25E44924" w:rsidR="008241E8" w:rsidRDefault="0050176B" w:rsidP="002D3E84">
      <w:pPr>
        <w:spacing w:after="0" w:line="240" w:lineRule="auto"/>
        <w:rPr>
          <w:rFonts w:ascii="Arial" w:hAnsi="Arial" w:cs="Arial"/>
          <w:sz w:val="24"/>
          <w:szCs w:val="24"/>
          <w:u w:val="single"/>
        </w:rPr>
      </w:pPr>
      <w:r w:rsidRPr="009D655D">
        <w:rPr>
          <w:rFonts w:ascii="Arial" w:hAnsi="Arial" w:cs="Arial"/>
          <w:b/>
          <w:i/>
          <w:sz w:val="24"/>
          <w:szCs w:val="24"/>
          <w:u w:val="single"/>
        </w:rPr>
        <w:t>Summary</w:t>
      </w:r>
      <w:r w:rsidR="00A37547" w:rsidRPr="009D655D">
        <w:rPr>
          <w:rFonts w:ascii="Arial" w:hAnsi="Arial" w:cs="Arial"/>
          <w:b/>
          <w:i/>
          <w:sz w:val="24"/>
          <w:szCs w:val="24"/>
          <w:u w:val="single"/>
        </w:rPr>
        <w:t>:</w:t>
      </w:r>
      <w:r w:rsidR="004E1AE2" w:rsidRPr="009D655D">
        <w:rPr>
          <w:rFonts w:ascii="Arial" w:hAnsi="Arial" w:cs="Arial"/>
          <w:b/>
          <w:i/>
          <w:sz w:val="24"/>
          <w:szCs w:val="24"/>
          <w:u w:val="single"/>
        </w:rPr>
        <w:t xml:space="preserve"> </w:t>
      </w:r>
      <w:r w:rsidR="002D3E84" w:rsidRPr="002D3E84">
        <w:rPr>
          <w:rFonts w:ascii="Arial" w:hAnsi="Arial" w:cs="Arial"/>
          <w:sz w:val="24"/>
          <w:szCs w:val="24"/>
        </w:rPr>
        <w:t xml:space="preserve">The Sacramento, San Francisco, and Los Angeles Districts of the U.S. Army Corps of Engineers, along with the U.S. Fish and Wildlife Service, the California Department of Fish and Wildlife, the California </w:t>
      </w:r>
      <w:r w:rsidR="00810DBC">
        <w:rPr>
          <w:rFonts w:ascii="Arial" w:hAnsi="Arial" w:cs="Arial"/>
          <w:sz w:val="24"/>
          <w:szCs w:val="24"/>
        </w:rPr>
        <w:t xml:space="preserve">Natural </w:t>
      </w:r>
      <w:r w:rsidR="002D3E84" w:rsidRPr="002D3E84">
        <w:rPr>
          <w:rFonts w:ascii="Arial" w:hAnsi="Arial" w:cs="Arial"/>
          <w:sz w:val="24"/>
          <w:szCs w:val="24"/>
        </w:rPr>
        <w:t>Resources Agency, the National Marine Fisheries Service, the United States Environmental Protection Agency, the State Water Resources Control Board, and the Natural Resources Conservation Service</w:t>
      </w:r>
      <w:r w:rsidR="003C7EBB">
        <w:rPr>
          <w:rFonts w:ascii="Arial" w:hAnsi="Arial" w:cs="Arial"/>
          <w:sz w:val="24"/>
          <w:szCs w:val="24"/>
        </w:rPr>
        <w:t xml:space="preserve"> </w:t>
      </w:r>
      <w:r w:rsidR="002D3E84" w:rsidRPr="002D3E84">
        <w:rPr>
          <w:rFonts w:ascii="Arial" w:hAnsi="Arial" w:cs="Arial"/>
          <w:sz w:val="24"/>
          <w:szCs w:val="24"/>
        </w:rPr>
        <w:t>as potential participants in Interagency Review Teams (IRT) have updated the standard Mitigation Bank Enabling Instrument (BEI) template for use with mitigation banks that are established within the State of California</w:t>
      </w:r>
      <w:r w:rsidR="002D3E84">
        <w:rPr>
          <w:rFonts w:ascii="Arial" w:hAnsi="Arial" w:cs="Arial"/>
          <w:sz w:val="24"/>
          <w:szCs w:val="24"/>
        </w:rPr>
        <w:t xml:space="preserve"> or mitigation banks with service areas that extend into the state of California</w:t>
      </w:r>
      <w:r w:rsidR="002D3E84" w:rsidRPr="002D3E84">
        <w:rPr>
          <w:rFonts w:ascii="Arial" w:hAnsi="Arial" w:cs="Arial"/>
          <w:sz w:val="24"/>
          <w:szCs w:val="24"/>
        </w:rPr>
        <w:t>. This notice is to inform interested parties of the availability of the completed template.</w:t>
      </w:r>
    </w:p>
    <w:p w14:paraId="0CDFB131" w14:textId="77777777" w:rsidR="002D3E84" w:rsidRPr="00910D48" w:rsidRDefault="002D3E84" w:rsidP="002D3E84">
      <w:pPr>
        <w:spacing w:after="0" w:line="240" w:lineRule="auto"/>
        <w:rPr>
          <w:rFonts w:ascii="Arial" w:hAnsi="Arial" w:cs="Arial"/>
          <w:b/>
          <w:i/>
          <w:sz w:val="24"/>
          <w:szCs w:val="24"/>
        </w:rPr>
      </w:pPr>
    </w:p>
    <w:p w14:paraId="2E302A7F" w14:textId="77777777" w:rsidR="008241E8" w:rsidRPr="00910D48" w:rsidRDefault="0050176B" w:rsidP="00921E11">
      <w:pPr>
        <w:spacing w:after="0" w:line="240" w:lineRule="auto"/>
        <w:ind w:left="2790" w:hanging="2790"/>
        <w:rPr>
          <w:rFonts w:ascii="Arial" w:hAnsi="Arial" w:cs="Arial"/>
          <w:b/>
          <w:sz w:val="24"/>
          <w:szCs w:val="24"/>
          <w:u w:val="single"/>
        </w:rPr>
      </w:pPr>
      <w:r w:rsidRPr="00910D48">
        <w:rPr>
          <w:rFonts w:ascii="Arial" w:hAnsi="Arial" w:cs="Arial"/>
          <w:b/>
          <w:i/>
          <w:sz w:val="24"/>
          <w:szCs w:val="24"/>
          <w:u w:val="single"/>
        </w:rPr>
        <w:t>Public Notice:</w:t>
      </w:r>
    </w:p>
    <w:p w14:paraId="08DB08DB" w14:textId="77777777" w:rsidR="00776C34" w:rsidRPr="00910D48" w:rsidRDefault="00776C34" w:rsidP="00921E11">
      <w:pPr>
        <w:spacing w:after="0" w:line="240" w:lineRule="auto"/>
        <w:ind w:left="2790" w:hanging="2790"/>
        <w:rPr>
          <w:rFonts w:ascii="Arial" w:hAnsi="Arial" w:cs="Arial"/>
          <w:b/>
          <w:sz w:val="24"/>
          <w:szCs w:val="24"/>
        </w:rPr>
      </w:pPr>
    </w:p>
    <w:p w14:paraId="5D67A1BE" w14:textId="77777777" w:rsidR="008241E8" w:rsidRPr="00910D48" w:rsidRDefault="008241E8" w:rsidP="00921E11">
      <w:pPr>
        <w:widowControl w:val="0"/>
        <w:tabs>
          <w:tab w:val="left" w:pos="7200"/>
        </w:tabs>
        <w:autoSpaceDE w:val="0"/>
        <w:autoSpaceDN w:val="0"/>
        <w:adjustRightInd w:val="0"/>
        <w:spacing w:after="0" w:line="240" w:lineRule="auto"/>
        <w:rPr>
          <w:rFonts w:ascii="Arial" w:hAnsi="Arial" w:cs="Arial"/>
          <w:b/>
          <w:sz w:val="24"/>
          <w:szCs w:val="24"/>
        </w:rPr>
      </w:pPr>
    </w:p>
    <w:p w14:paraId="3EB2E681" w14:textId="4ADCB392" w:rsidR="00642327" w:rsidRPr="00183103" w:rsidRDefault="007F23E2" w:rsidP="00921E11">
      <w:pPr>
        <w:widowControl w:val="0"/>
        <w:tabs>
          <w:tab w:val="left" w:pos="7200"/>
        </w:tabs>
        <w:autoSpaceDE w:val="0"/>
        <w:autoSpaceDN w:val="0"/>
        <w:adjustRightInd w:val="0"/>
        <w:spacing w:after="0" w:line="240" w:lineRule="auto"/>
        <w:rPr>
          <w:rFonts w:ascii="Arial" w:hAnsi="Arial" w:cs="Arial"/>
          <w:sz w:val="24"/>
          <w:szCs w:val="24"/>
          <w:shd w:val="clear" w:color="auto" w:fill="FFFFFF"/>
        </w:rPr>
      </w:pPr>
      <w:r w:rsidRPr="00910D48">
        <w:rPr>
          <w:rFonts w:ascii="Arial" w:hAnsi="Arial" w:cs="Arial"/>
          <w:b/>
          <w:sz w:val="24"/>
          <w:szCs w:val="24"/>
        </w:rPr>
        <w:t>SUBJECT</w:t>
      </w:r>
      <w:r w:rsidR="004E7BC8">
        <w:rPr>
          <w:rFonts w:ascii="Arial" w:hAnsi="Arial" w:cs="Arial"/>
          <w:b/>
          <w:sz w:val="24"/>
          <w:szCs w:val="24"/>
        </w:rPr>
        <w:t xml:space="preserve">: </w:t>
      </w:r>
      <w:r w:rsidR="003C7EBB" w:rsidRPr="003C7EBB">
        <w:rPr>
          <w:rFonts w:ascii="Arial" w:hAnsi="Arial" w:cs="Arial"/>
          <w:bCs/>
          <w:sz w:val="24"/>
          <w:szCs w:val="24"/>
        </w:rPr>
        <w:t>On September 22, 2011, the</w:t>
      </w:r>
      <w:r w:rsidR="003C7EBB">
        <w:rPr>
          <w:rFonts w:ascii="Arial" w:hAnsi="Arial" w:cs="Arial"/>
          <w:b/>
          <w:sz w:val="24"/>
          <w:szCs w:val="24"/>
        </w:rPr>
        <w:t xml:space="preserve"> </w:t>
      </w:r>
      <w:r w:rsidR="003C7EBB" w:rsidRPr="00183103">
        <w:rPr>
          <w:rFonts w:ascii="Arial" w:hAnsi="Arial" w:cs="Arial"/>
          <w:sz w:val="24"/>
          <w:szCs w:val="24"/>
          <w:shd w:val="clear" w:color="auto" w:fill="FFFFFF"/>
        </w:rPr>
        <w:t>U.S. Army Corps of Engineers’ (USACE) South Pacific Division's Sacramento, San Francisco, and Los Angeles Districts, along with the U.S. Fish and Wildlife Service (USFWS), the California Department of Fish and Wildlife (CDFW), the California Natural Resources Agency (CNRA), the National Marine Fisheries Service (NMFS), the United States Environmental Protection Agency (EPA), the State Water Resources Control Board (State Water Board), and the Natural Resources Conservation Service (NRCS), as potential participants in Interagency Review Teams (IRT)</w:t>
      </w:r>
      <w:r w:rsidR="003C7EBB">
        <w:rPr>
          <w:rFonts w:ascii="Arial" w:hAnsi="Arial" w:cs="Arial"/>
          <w:sz w:val="24"/>
          <w:szCs w:val="24"/>
          <w:shd w:val="clear" w:color="auto" w:fill="FFFFFF"/>
        </w:rPr>
        <w:t xml:space="preserve"> entered into the </w:t>
      </w:r>
      <w:r w:rsidR="003C7EBB" w:rsidRPr="003C7EBB">
        <w:rPr>
          <w:rFonts w:ascii="Arial" w:hAnsi="Arial" w:cs="Arial"/>
          <w:i/>
          <w:iCs/>
          <w:sz w:val="24"/>
          <w:szCs w:val="24"/>
          <w:shd w:val="clear" w:color="auto" w:fill="FFFFFF"/>
        </w:rPr>
        <w:t>Memorandum of Understanding Concerning Mitigation and Conservation Banking and In-Lieu Fee Programs in California</w:t>
      </w:r>
      <w:r w:rsidR="003C7EBB">
        <w:rPr>
          <w:rFonts w:ascii="Arial" w:hAnsi="Arial" w:cs="Arial"/>
          <w:sz w:val="24"/>
          <w:szCs w:val="24"/>
          <w:shd w:val="clear" w:color="auto" w:fill="FFFFFF"/>
        </w:rPr>
        <w:t xml:space="preserve"> (MOU). In accordance with the MOU, t</w:t>
      </w:r>
      <w:r w:rsidR="002D3E84" w:rsidRPr="00183103">
        <w:rPr>
          <w:rFonts w:ascii="Arial" w:hAnsi="Arial" w:cs="Arial"/>
          <w:sz w:val="24"/>
          <w:szCs w:val="24"/>
          <w:shd w:val="clear" w:color="auto" w:fill="FFFFFF"/>
        </w:rPr>
        <w:t>he California Banking Agency Management Team (BAMT)has approved the attached Bank Enabling Instrument (BEI) for use in the development of mitigation and conservation banks within, or that propose service areas</w:t>
      </w:r>
      <w:r w:rsidR="00B95F39">
        <w:rPr>
          <w:rFonts w:ascii="Arial" w:hAnsi="Arial" w:cs="Arial"/>
          <w:sz w:val="24"/>
          <w:szCs w:val="24"/>
          <w:shd w:val="clear" w:color="auto" w:fill="FFFFFF"/>
        </w:rPr>
        <w:t>,</w:t>
      </w:r>
      <w:r w:rsidR="002D3E84" w:rsidRPr="00183103">
        <w:rPr>
          <w:rFonts w:ascii="Arial" w:hAnsi="Arial" w:cs="Arial"/>
          <w:sz w:val="24"/>
          <w:szCs w:val="24"/>
          <w:shd w:val="clear" w:color="auto" w:fill="FFFFFF"/>
        </w:rPr>
        <w:t xml:space="preserve"> within the State of California. The BEI replaces the May 2021, BEI template. The California Interagency Project Delivery Team (PDT), in coordination with the BAMT</w:t>
      </w:r>
      <w:r w:rsidR="00B95F39">
        <w:rPr>
          <w:rFonts w:ascii="Arial" w:hAnsi="Arial" w:cs="Arial"/>
          <w:sz w:val="24"/>
          <w:szCs w:val="24"/>
          <w:shd w:val="clear" w:color="auto" w:fill="FFFFFF"/>
        </w:rPr>
        <w:t>,</w:t>
      </w:r>
      <w:r w:rsidR="002D3E84" w:rsidRPr="00183103">
        <w:rPr>
          <w:rFonts w:ascii="Arial" w:hAnsi="Arial" w:cs="Arial"/>
          <w:sz w:val="24"/>
          <w:szCs w:val="24"/>
          <w:shd w:val="clear" w:color="auto" w:fill="FFFFFF"/>
        </w:rPr>
        <w:t xml:space="preserve"> developed this template, following the consideration of comments received in response to the </w:t>
      </w:r>
      <w:r w:rsidR="00D73476" w:rsidRPr="00183103">
        <w:rPr>
          <w:rFonts w:ascii="Arial" w:hAnsi="Arial" w:cs="Arial"/>
          <w:sz w:val="24"/>
          <w:szCs w:val="24"/>
          <w:shd w:val="clear" w:color="auto" w:fill="FFFFFF"/>
        </w:rPr>
        <w:t>December 2023,</w:t>
      </w:r>
      <w:r w:rsidR="002D3E84" w:rsidRPr="00183103">
        <w:rPr>
          <w:rFonts w:ascii="Arial" w:hAnsi="Arial" w:cs="Arial"/>
          <w:sz w:val="24"/>
          <w:szCs w:val="24"/>
          <w:shd w:val="clear" w:color="auto" w:fill="FFFFFF"/>
        </w:rPr>
        <w:t> public notice, subsequent public meetings, and following input from the BAMT.  </w:t>
      </w:r>
    </w:p>
    <w:p w14:paraId="22F744D4" w14:textId="77777777" w:rsidR="00642327" w:rsidRPr="00183103" w:rsidRDefault="00642327" w:rsidP="00921E11">
      <w:pPr>
        <w:widowControl w:val="0"/>
        <w:tabs>
          <w:tab w:val="left" w:pos="7200"/>
        </w:tabs>
        <w:autoSpaceDE w:val="0"/>
        <w:autoSpaceDN w:val="0"/>
        <w:adjustRightInd w:val="0"/>
        <w:spacing w:after="0" w:line="240" w:lineRule="auto"/>
        <w:rPr>
          <w:rFonts w:ascii="Arial" w:hAnsi="Arial" w:cs="Arial"/>
          <w:sz w:val="24"/>
          <w:szCs w:val="24"/>
          <w:shd w:val="clear" w:color="auto" w:fill="FFFFFF"/>
        </w:rPr>
      </w:pPr>
    </w:p>
    <w:p w14:paraId="7D059FCB" w14:textId="0FE1C7F3" w:rsidR="00642327" w:rsidRPr="00183103" w:rsidRDefault="00767B33" w:rsidP="00921E11">
      <w:pPr>
        <w:widowControl w:val="0"/>
        <w:tabs>
          <w:tab w:val="left" w:pos="7200"/>
        </w:tabs>
        <w:autoSpaceDE w:val="0"/>
        <w:autoSpaceDN w:val="0"/>
        <w:adjustRightInd w:val="0"/>
        <w:spacing w:after="0" w:line="240" w:lineRule="auto"/>
        <w:rPr>
          <w:rFonts w:ascii="Arial" w:hAnsi="Arial" w:cs="Arial"/>
          <w:sz w:val="24"/>
          <w:szCs w:val="24"/>
          <w:shd w:val="clear" w:color="auto" w:fill="FFFFFF"/>
        </w:rPr>
      </w:pPr>
      <w:bookmarkStart w:id="0" w:name="_Hlk181256075"/>
      <w:r w:rsidRPr="00183103">
        <w:rPr>
          <w:rFonts w:ascii="Arial" w:hAnsi="Arial" w:cs="Arial"/>
          <w:sz w:val="24"/>
          <w:szCs w:val="24"/>
          <w:shd w:val="clear" w:color="auto" w:fill="FFFFFF"/>
        </w:rPr>
        <w:t>Bank sponsors submitting a new draft BEI between November 4, 2024</w:t>
      </w:r>
      <w:r w:rsidR="00642327" w:rsidRPr="00183103">
        <w:rPr>
          <w:rFonts w:ascii="Arial" w:hAnsi="Arial" w:cs="Arial"/>
          <w:sz w:val="24"/>
          <w:szCs w:val="24"/>
          <w:shd w:val="clear" w:color="auto" w:fill="FFFFFF"/>
        </w:rPr>
        <w:t>,</w:t>
      </w:r>
      <w:r w:rsidRPr="00183103">
        <w:rPr>
          <w:rFonts w:ascii="Arial" w:hAnsi="Arial" w:cs="Arial"/>
          <w:sz w:val="24"/>
          <w:szCs w:val="24"/>
          <w:shd w:val="clear" w:color="auto" w:fill="FFFFFF"/>
        </w:rPr>
        <w:t xml:space="preserve"> and February 4, 202</w:t>
      </w:r>
      <w:r w:rsidR="00642327" w:rsidRPr="00183103">
        <w:rPr>
          <w:rFonts w:ascii="Arial" w:hAnsi="Arial" w:cs="Arial"/>
          <w:sz w:val="24"/>
          <w:szCs w:val="24"/>
          <w:shd w:val="clear" w:color="auto" w:fill="FFFFFF"/>
        </w:rPr>
        <w:t>5, may choose to use either the May 2021, BEI template or the November 2024</w:t>
      </w:r>
      <w:r w:rsidR="00B95F39">
        <w:rPr>
          <w:rFonts w:ascii="Arial" w:hAnsi="Arial" w:cs="Arial"/>
          <w:sz w:val="24"/>
          <w:szCs w:val="24"/>
          <w:shd w:val="clear" w:color="auto" w:fill="FFFFFF"/>
        </w:rPr>
        <w:t>,</w:t>
      </w:r>
      <w:r w:rsidR="00642327" w:rsidRPr="00183103">
        <w:rPr>
          <w:rFonts w:ascii="Arial" w:hAnsi="Arial" w:cs="Arial"/>
          <w:sz w:val="24"/>
          <w:szCs w:val="24"/>
          <w:shd w:val="clear" w:color="auto" w:fill="FFFFFF"/>
        </w:rPr>
        <w:t xml:space="preserve"> BEI template. Bank sponsors must use the November 2024</w:t>
      </w:r>
      <w:r w:rsidR="00B95F39">
        <w:rPr>
          <w:rFonts w:ascii="Arial" w:hAnsi="Arial" w:cs="Arial"/>
          <w:sz w:val="24"/>
          <w:szCs w:val="24"/>
          <w:shd w:val="clear" w:color="auto" w:fill="FFFFFF"/>
        </w:rPr>
        <w:t>,</w:t>
      </w:r>
      <w:r w:rsidR="00642327" w:rsidRPr="00183103">
        <w:rPr>
          <w:rFonts w:ascii="Arial" w:hAnsi="Arial" w:cs="Arial"/>
          <w:sz w:val="24"/>
          <w:szCs w:val="24"/>
          <w:shd w:val="clear" w:color="auto" w:fill="FFFFFF"/>
        </w:rPr>
        <w:t xml:space="preserve"> BEI template when submitting a new draft instrument on or after February 4, 2025. This requirement does not apply to the submittal of revised BEIs addressing IRT comments, where the initial draft BEI was submitted prior to February 4, 2025.</w:t>
      </w:r>
      <w:r w:rsidR="002D3E84" w:rsidRPr="00183103">
        <w:rPr>
          <w:rFonts w:ascii="Arial" w:hAnsi="Arial" w:cs="Arial"/>
          <w:sz w:val="24"/>
          <w:szCs w:val="24"/>
          <w:shd w:val="clear" w:color="auto" w:fill="FFFFFF"/>
        </w:rPr>
        <w:t> </w:t>
      </w:r>
      <w:r w:rsidR="00642327" w:rsidRPr="00183103">
        <w:rPr>
          <w:rFonts w:ascii="Arial" w:hAnsi="Arial" w:cs="Arial"/>
          <w:sz w:val="24"/>
          <w:szCs w:val="24"/>
          <w:shd w:val="clear" w:color="auto" w:fill="FFFFFF"/>
        </w:rPr>
        <w:t>However, m</w:t>
      </w:r>
      <w:r w:rsidR="002D3E84" w:rsidRPr="00183103">
        <w:rPr>
          <w:rFonts w:ascii="Arial" w:hAnsi="Arial" w:cs="Arial"/>
          <w:sz w:val="24"/>
          <w:szCs w:val="24"/>
          <w:shd w:val="clear" w:color="auto" w:fill="FFFFFF"/>
        </w:rPr>
        <w:t xml:space="preserve">itigation banks currently in process may, and are encouraged to, use the </w:t>
      </w:r>
      <w:r w:rsidR="00642327" w:rsidRPr="00183103">
        <w:rPr>
          <w:rFonts w:ascii="Arial" w:hAnsi="Arial" w:cs="Arial"/>
          <w:sz w:val="24"/>
          <w:szCs w:val="24"/>
          <w:shd w:val="clear" w:color="auto" w:fill="FFFFFF"/>
        </w:rPr>
        <w:t>November 2024, BEI template</w:t>
      </w:r>
      <w:r w:rsidR="002D3E84" w:rsidRPr="00183103">
        <w:rPr>
          <w:rFonts w:ascii="Arial" w:hAnsi="Arial" w:cs="Arial"/>
          <w:sz w:val="24"/>
          <w:szCs w:val="24"/>
          <w:shd w:val="clear" w:color="auto" w:fill="FFFFFF"/>
        </w:rPr>
        <w:t>, rather than earlier versions. </w:t>
      </w:r>
      <w:r w:rsidR="00642327" w:rsidRPr="00183103">
        <w:rPr>
          <w:rFonts w:ascii="Arial" w:hAnsi="Arial" w:cs="Arial"/>
          <w:sz w:val="24"/>
          <w:szCs w:val="24"/>
          <w:shd w:val="clear" w:color="auto" w:fill="FFFFFF"/>
        </w:rPr>
        <w:t>The applicability of the November 2024, BEI template is outlined in the table below:</w:t>
      </w:r>
    </w:p>
    <w:p w14:paraId="5794F822" w14:textId="77777777" w:rsidR="00642327" w:rsidRDefault="00642327" w:rsidP="00921E11">
      <w:pPr>
        <w:widowControl w:val="0"/>
        <w:tabs>
          <w:tab w:val="left" w:pos="7200"/>
        </w:tabs>
        <w:autoSpaceDE w:val="0"/>
        <w:autoSpaceDN w:val="0"/>
        <w:adjustRightInd w:val="0"/>
        <w:spacing w:after="0" w:line="240" w:lineRule="auto"/>
        <w:rPr>
          <w:rFonts w:ascii="Arial" w:hAnsi="Arial" w:cs="Arial"/>
          <w:color w:val="333333"/>
          <w:sz w:val="24"/>
          <w:szCs w:val="24"/>
          <w:shd w:val="clear" w:color="auto" w:fill="FFFFFF"/>
        </w:rPr>
      </w:pPr>
    </w:p>
    <w:tbl>
      <w:tblPr>
        <w:tblStyle w:val="TableGrid"/>
        <w:tblW w:w="8270" w:type="dxa"/>
        <w:tblLook w:val="04A0" w:firstRow="1" w:lastRow="0" w:firstColumn="1" w:lastColumn="0" w:noHBand="0" w:noVBand="1"/>
      </w:tblPr>
      <w:tblGrid>
        <w:gridCol w:w="2425"/>
        <w:gridCol w:w="2070"/>
        <w:gridCol w:w="1890"/>
        <w:gridCol w:w="1885"/>
      </w:tblGrid>
      <w:tr w:rsidR="00642327" w14:paraId="0A239278" w14:textId="77777777" w:rsidTr="00642327">
        <w:trPr>
          <w:trHeight w:val="485"/>
        </w:trPr>
        <w:tc>
          <w:tcPr>
            <w:tcW w:w="8270" w:type="dxa"/>
            <w:gridSpan w:val="4"/>
          </w:tcPr>
          <w:p w14:paraId="065F1E8C" w14:textId="32574254" w:rsidR="00642327" w:rsidRPr="00183103" w:rsidRDefault="00183103" w:rsidP="003A05C5">
            <w:pPr>
              <w:rPr>
                <w:rFonts w:ascii="Arial" w:hAnsi="Arial" w:cs="Arial"/>
                <w:b/>
                <w:bCs/>
                <w:sz w:val="24"/>
                <w:szCs w:val="24"/>
              </w:rPr>
            </w:pPr>
            <w:r w:rsidRPr="00183103">
              <w:rPr>
                <w:rFonts w:ascii="Arial" w:hAnsi="Arial" w:cs="Arial"/>
                <w:b/>
                <w:bCs/>
                <w:sz w:val="24"/>
                <w:szCs w:val="24"/>
              </w:rPr>
              <w:lastRenderedPageBreak/>
              <w:t>Applicability of November 2024, BEI template to Proposed and Approved Mitigation Banks</w:t>
            </w:r>
          </w:p>
        </w:tc>
      </w:tr>
      <w:tr w:rsidR="00642327" w14:paraId="20DFFEB4" w14:textId="77777777" w:rsidTr="003A05C5">
        <w:trPr>
          <w:trHeight w:val="847"/>
        </w:trPr>
        <w:tc>
          <w:tcPr>
            <w:tcW w:w="2425" w:type="dxa"/>
          </w:tcPr>
          <w:p w14:paraId="738D6163" w14:textId="77777777" w:rsidR="00642327" w:rsidRPr="00183103" w:rsidRDefault="00642327" w:rsidP="003A05C5">
            <w:pPr>
              <w:rPr>
                <w:rFonts w:ascii="Arial" w:hAnsi="Arial" w:cs="Arial"/>
                <w:sz w:val="24"/>
                <w:szCs w:val="24"/>
              </w:rPr>
            </w:pPr>
          </w:p>
        </w:tc>
        <w:tc>
          <w:tcPr>
            <w:tcW w:w="2070" w:type="dxa"/>
          </w:tcPr>
          <w:p w14:paraId="11DDF9C5" w14:textId="3721B44F" w:rsidR="00642327" w:rsidRPr="00183103" w:rsidRDefault="00183103" w:rsidP="003A05C5">
            <w:pPr>
              <w:rPr>
                <w:rFonts w:ascii="Arial" w:hAnsi="Arial" w:cs="Arial"/>
                <w:b/>
                <w:bCs/>
                <w:sz w:val="24"/>
                <w:szCs w:val="24"/>
              </w:rPr>
            </w:pPr>
            <w:r w:rsidRPr="00183103">
              <w:rPr>
                <w:rFonts w:ascii="Arial" w:hAnsi="Arial" w:cs="Arial"/>
                <w:b/>
                <w:bCs/>
                <w:sz w:val="24"/>
                <w:szCs w:val="24"/>
              </w:rPr>
              <w:t>Submittal of new draft BEI</w:t>
            </w:r>
            <w:r w:rsidR="00642327" w:rsidRPr="00183103">
              <w:rPr>
                <w:rFonts w:ascii="Arial" w:hAnsi="Arial" w:cs="Arial"/>
                <w:b/>
                <w:bCs/>
                <w:sz w:val="24"/>
                <w:szCs w:val="24"/>
              </w:rPr>
              <w:t xml:space="preserve"> </w:t>
            </w:r>
          </w:p>
        </w:tc>
        <w:tc>
          <w:tcPr>
            <w:tcW w:w="1890" w:type="dxa"/>
          </w:tcPr>
          <w:p w14:paraId="0BC3B623" w14:textId="1DD3D5BB" w:rsidR="00642327" w:rsidRPr="00183103" w:rsidRDefault="00642327" w:rsidP="003A05C5">
            <w:pPr>
              <w:rPr>
                <w:rFonts w:ascii="Arial" w:hAnsi="Arial" w:cs="Arial"/>
                <w:b/>
                <w:bCs/>
                <w:sz w:val="24"/>
                <w:szCs w:val="24"/>
              </w:rPr>
            </w:pPr>
            <w:r w:rsidRPr="00183103">
              <w:rPr>
                <w:rFonts w:ascii="Arial" w:hAnsi="Arial" w:cs="Arial"/>
                <w:b/>
                <w:bCs/>
                <w:sz w:val="24"/>
                <w:szCs w:val="24"/>
              </w:rPr>
              <w:t xml:space="preserve">Approved </w:t>
            </w:r>
            <w:r w:rsidR="00183103" w:rsidRPr="00183103">
              <w:rPr>
                <w:rFonts w:ascii="Arial" w:hAnsi="Arial" w:cs="Arial"/>
                <w:b/>
                <w:bCs/>
                <w:sz w:val="24"/>
                <w:szCs w:val="24"/>
              </w:rPr>
              <w:t xml:space="preserve">Banks </w:t>
            </w:r>
            <w:r w:rsidRPr="00183103">
              <w:rPr>
                <w:rFonts w:ascii="Arial" w:hAnsi="Arial" w:cs="Arial"/>
                <w:b/>
                <w:bCs/>
                <w:sz w:val="24"/>
                <w:szCs w:val="24"/>
              </w:rPr>
              <w:t xml:space="preserve">(Signed BEI) </w:t>
            </w:r>
          </w:p>
        </w:tc>
        <w:tc>
          <w:tcPr>
            <w:tcW w:w="1885" w:type="dxa"/>
          </w:tcPr>
          <w:p w14:paraId="6E2F1FB3" w14:textId="4BB6AA5A" w:rsidR="00642327" w:rsidRPr="00183103" w:rsidRDefault="00642327" w:rsidP="003A05C5">
            <w:pPr>
              <w:rPr>
                <w:rFonts w:ascii="Arial" w:hAnsi="Arial" w:cs="Arial"/>
                <w:b/>
                <w:bCs/>
                <w:sz w:val="24"/>
                <w:szCs w:val="24"/>
              </w:rPr>
            </w:pPr>
            <w:r w:rsidRPr="00183103">
              <w:rPr>
                <w:rFonts w:ascii="Arial" w:hAnsi="Arial" w:cs="Arial"/>
                <w:b/>
                <w:bCs/>
                <w:sz w:val="24"/>
                <w:szCs w:val="24"/>
              </w:rPr>
              <w:t xml:space="preserve">Banks </w:t>
            </w:r>
            <w:r w:rsidR="00DC7473">
              <w:rPr>
                <w:rFonts w:ascii="Arial" w:hAnsi="Arial" w:cs="Arial"/>
                <w:b/>
                <w:bCs/>
                <w:sz w:val="24"/>
                <w:szCs w:val="24"/>
              </w:rPr>
              <w:t>A</w:t>
            </w:r>
            <w:r w:rsidRPr="00183103">
              <w:rPr>
                <w:rFonts w:ascii="Arial" w:hAnsi="Arial" w:cs="Arial"/>
                <w:b/>
                <w:bCs/>
                <w:sz w:val="24"/>
                <w:szCs w:val="24"/>
              </w:rPr>
              <w:t xml:space="preserve">lready in </w:t>
            </w:r>
            <w:r w:rsidR="00DC7473">
              <w:rPr>
                <w:rFonts w:ascii="Arial" w:hAnsi="Arial" w:cs="Arial"/>
                <w:b/>
                <w:bCs/>
                <w:sz w:val="24"/>
                <w:szCs w:val="24"/>
              </w:rPr>
              <w:t>D</w:t>
            </w:r>
            <w:r w:rsidRPr="00183103">
              <w:rPr>
                <w:rFonts w:ascii="Arial" w:hAnsi="Arial" w:cs="Arial"/>
                <w:b/>
                <w:bCs/>
                <w:sz w:val="24"/>
                <w:szCs w:val="24"/>
              </w:rPr>
              <w:t xml:space="preserve">raft BEI </w:t>
            </w:r>
            <w:r w:rsidR="00DC7473">
              <w:rPr>
                <w:rFonts w:ascii="Arial" w:hAnsi="Arial" w:cs="Arial"/>
                <w:b/>
                <w:bCs/>
                <w:sz w:val="24"/>
                <w:szCs w:val="24"/>
              </w:rPr>
              <w:t>S</w:t>
            </w:r>
            <w:r w:rsidRPr="00183103">
              <w:rPr>
                <w:rFonts w:ascii="Arial" w:hAnsi="Arial" w:cs="Arial"/>
                <w:b/>
                <w:bCs/>
                <w:sz w:val="24"/>
                <w:szCs w:val="24"/>
              </w:rPr>
              <w:t>tage</w:t>
            </w:r>
          </w:p>
        </w:tc>
      </w:tr>
      <w:tr w:rsidR="00642327" w14:paraId="555EB67D" w14:textId="77777777" w:rsidTr="003A05C5">
        <w:trPr>
          <w:trHeight w:val="287"/>
        </w:trPr>
        <w:tc>
          <w:tcPr>
            <w:tcW w:w="2425" w:type="dxa"/>
          </w:tcPr>
          <w:p w14:paraId="4C3B0FCA" w14:textId="543F0194" w:rsidR="00642327" w:rsidRPr="00183103" w:rsidRDefault="005214E5" w:rsidP="003A05C5">
            <w:pPr>
              <w:rPr>
                <w:rFonts w:ascii="Arial" w:hAnsi="Arial" w:cs="Arial"/>
                <w:b/>
                <w:bCs/>
                <w:sz w:val="24"/>
                <w:szCs w:val="24"/>
              </w:rPr>
            </w:pPr>
            <w:r>
              <w:rPr>
                <w:rFonts w:ascii="Arial" w:hAnsi="Arial" w:cs="Arial"/>
                <w:b/>
                <w:bCs/>
                <w:sz w:val="24"/>
                <w:szCs w:val="24"/>
              </w:rPr>
              <w:t xml:space="preserve">On or </w:t>
            </w:r>
            <w:r w:rsidR="00B95F39">
              <w:rPr>
                <w:rFonts w:ascii="Arial" w:hAnsi="Arial" w:cs="Arial"/>
                <w:b/>
                <w:bCs/>
                <w:sz w:val="24"/>
                <w:szCs w:val="24"/>
              </w:rPr>
              <w:t>B</w:t>
            </w:r>
            <w:r w:rsidR="00642327" w:rsidRPr="00183103">
              <w:rPr>
                <w:rFonts w:ascii="Arial" w:hAnsi="Arial" w:cs="Arial"/>
                <w:b/>
                <w:bCs/>
                <w:sz w:val="24"/>
                <w:szCs w:val="24"/>
              </w:rPr>
              <w:t>efore Feb 4, 2025</w:t>
            </w:r>
          </w:p>
          <w:p w14:paraId="10D98E67" w14:textId="77777777" w:rsidR="00642327" w:rsidRPr="00183103" w:rsidRDefault="00642327" w:rsidP="003A05C5">
            <w:pPr>
              <w:rPr>
                <w:rFonts w:ascii="Arial" w:hAnsi="Arial" w:cs="Arial"/>
                <w:b/>
                <w:bCs/>
                <w:sz w:val="24"/>
                <w:szCs w:val="24"/>
              </w:rPr>
            </w:pPr>
          </w:p>
        </w:tc>
        <w:tc>
          <w:tcPr>
            <w:tcW w:w="2070" w:type="dxa"/>
          </w:tcPr>
          <w:p w14:paraId="0538CCFA" w14:textId="77777777" w:rsidR="00642327" w:rsidRPr="00183103" w:rsidRDefault="00642327" w:rsidP="003A05C5">
            <w:pPr>
              <w:rPr>
                <w:rFonts w:ascii="Arial" w:hAnsi="Arial" w:cs="Arial"/>
                <w:sz w:val="24"/>
                <w:szCs w:val="24"/>
              </w:rPr>
            </w:pPr>
            <w:r w:rsidRPr="00183103">
              <w:rPr>
                <w:rFonts w:ascii="Arial" w:hAnsi="Arial" w:cs="Arial"/>
                <w:sz w:val="24"/>
                <w:szCs w:val="24"/>
              </w:rPr>
              <w:t xml:space="preserve">May use the May 2021 or November 2024 BEI template </w:t>
            </w:r>
          </w:p>
        </w:tc>
        <w:tc>
          <w:tcPr>
            <w:tcW w:w="1890" w:type="dxa"/>
          </w:tcPr>
          <w:p w14:paraId="6F1C5834" w14:textId="7059095F" w:rsidR="00642327" w:rsidRPr="00183103" w:rsidRDefault="00642327" w:rsidP="003A05C5">
            <w:pPr>
              <w:rPr>
                <w:rFonts w:ascii="Arial" w:hAnsi="Arial" w:cs="Arial"/>
                <w:sz w:val="24"/>
                <w:szCs w:val="24"/>
              </w:rPr>
            </w:pPr>
            <w:r w:rsidRPr="00183103">
              <w:rPr>
                <w:rFonts w:ascii="Arial" w:hAnsi="Arial" w:cs="Arial"/>
                <w:sz w:val="24"/>
                <w:szCs w:val="24"/>
              </w:rPr>
              <w:t xml:space="preserve">Sponsor can submit an amendment </w:t>
            </w:r>
            <w:r w:rsidR="00183103" w:rsidRPr="00183103">
              <w:rPr>
                <w:rFonts w:ascii="Arial" w:hAnsi="Arial" w:cs="Arial"/>
                <w:sz w:val="24"/>
                <w:szCs w:val="24"/>
              </w:rPr>
              <w:t xml:space="preserve">update </w:t>
            </w:r>
            <w:r w:rsidRPr="00183103">
              <w:rPr>
                <w:rFonts w:ascii="Arial" w:hAnsi="Arial" w:cs="Arial"/>
                <w:sz w:val="24"/>
                <w:szCs w:val="24"/>
              </w:rPr>
              <w:t>to November 2024 BEI template</w:t>
            </w:r>
            <w:r w:rsidR="00183103" w:rsidRPr="00183103">
              <w:rPr>
                <w:rFonts w:ascii="Arial" w:hAnsi="Arial" w:cs="Arial"/>
                <w:sz w:val="24"/>
                <w:szCs w:val="24"/>
              </w:rPr>
              <w:t xml:space="preserve"> (Not required)</w:t>
            </w:r>
          </w:p>
        </w:tc>
        <w:tc>
          <w:tcPr>
            <w:tcW w:w="1885" w:type="dxa"/>
          </w:tcPr>
          <w:p w14:paraId="2D70A460" w14:textId="31AA8DF4" w:rsidR="00642327" w:rsidRPr="00183103" w:rsidRDefault="00642327" w:rsidP="003A05C5">
            <w:pPr>
              <w:rPr>
                <w:rFonts w:ascii="Arial" w:hAnsi="Arial" w:cs="Arial"/>
                <w:sz w:val="24"/>
                <w:szCs w:val="24"/>
              </w:rPr>
            </w:pPr>
            <w:r w:rsidRPr="00183103">
              <w:rPr>
                <w:rFonts w:ascii="Arial" w:hAnsi="Arial" w:cs="Arial"/>
                <w:sz w:val="24"/>
                <w:szCs w:val="24"/>
              </w:rPr>
              <w:t xml:space="preserve">Sponsor can submit </w:t>
            </w:r>
            <w:r w:rsidR="00183103" w:rsidRPr="00183103">
              <w:rPr>
                <w:rFonts w:ascii="Arial" w:hAnsi="Arial" w:cs="Arial"/>
                <w:sz w:val="24"/>
                <w:szCs w:val="24"/>
              </w:rPr>
              <w:t xml:space="preserve">a request to </w:t>
            </w:r>
            <w:r w:rsidRPr="00183103">
              <w:rPr>
                <w:rFonts w:ascii="Arial" w:hAnsi="Arial" w:cs="Arial"/>
                <w:sz w:val="24"/>
                <w:szCs w:val="24"/>
              </w:rPr>
              <w:t>update to November 2024 BEI</w:t>
            </w:r>
          </w:p>
        </w:tc>
      </w:tr>
      <w:tr w:rsidR="00642327" w14:paraId="5EFC192B" w14:textId="77777777" w:rsidTr="003A05C5">
        <w:trPr>
          <w:trHeight w:val="287"/>
        </w:trPr>
        <w:tc>
          <w:tcPr>
            <w:tcW w:w="2425" w:type="dxa"/>
          </w:tcPr>
          <w:p w14:paraId="2D8BBB6B" w14:textId="57E081EB" w:rsidR="00642327" w:rsidRPr="00183103" w:rsidRDefault="00642327" w:rsidP="003A05C5">
            <w:pPr>
              <w:rPr>
                <w:rFonts w:ascii="Arial" w:hAnsi="Arial" w:cs="Arial"/>
                <w:b/>
                <w:bCs/>
                <w:sz w:val="24"/>
                <w:szCs w:val="24"/>
              </w:rPr>
            </w:pPr>
            <w:r w:rsidRPr="00183103">
              <w:rPr>
                <w:rFonts w:ascii="Arial" w:hAnsi="Arial" w:cs="Arial"/>
                <w:b/>
                <w:bCs/>
                <w:sz w:val="24"/>
                <w:szCs w:val="24"/>
              </w:rPr>
              <w:t>After Feb 4, 2025</w:t>
            </w:r>
          </w:p>
        </w:tc>
        <w:tc>
          <w:tcPr>
            <w:tcW w:w="2070" w:type="dxa"/>
          </w:tcPr>
          <w:p w14:paraId="64A1C1D3" w14:textId="5D078230" w:rsidR="00642327" w:rsidRPr="00183103" w:rsidRDefault="00183103" w:rsidP="003A05C5">
            <w:pPr>
              <w:rPr>
                <w:rFonts w:ascii="Arial" w:hAnsi="Arial" w:cs="Arial"/>
                <w:sz w:val="24"/>
                <w:szCs w:val="24"/>
              </w:rPr>
            </w:pPr>
            <w:r>
              <w:rPr>
                <w:rFonts w:ascii="Arial" w:hAnsi="Arial" w:cs="Arial"/>
                <w:sz w:val="24"/>
                <w:szCs w:val="24"/>
              </w:rPr>
              <w:t xml:space="preserve">Sponsors must use </w:t>
            </w:r>
            <w:r w:rsidR="00642327" w:rsidRPr="00183103">
              <w:rPr>
                <w:rFonts w:ascii="Arial" w:hAnsi="Arial" w:cs="Arial"/>
                <w:sz w:val="24"/>
                <w:szCs w:val="24"/>
              </w:rPr>
              <w:t>November 2024 BEI template</w:t>
            </w:r>
          </w:p>
        </w:tc>
        <w:tc>
          <w:tcPr>
            <w:tcW w:w="1890" w:type="dxa"/>
            <w:shd w:val="clear" w:color="auto" w:fill="auto"/>
          </w:tcPr>
          <w:p w14:paraId="2C95A035" w14:textId="77777777" w:rsidR="00642327" w:rsidRPr="00183103" w:rsidRDefault="00642327" w:rsidP="003A05C5">
            <w:pPr>
              <w:rPr>
                <w:rFonts w:ascii="Arial" w:hAnsi="Arial" w:cs="Arial"/>
                <w:sz w:val="24"/>
                <w:szCs w:val="24"/>
              </w:rPr>
            </w:pPr>
            <w:r w:rsidRPr="00183103">
              <w:rPr>
                <w:rFonts w:ascii="Arial" w:hAnsi="Arial" w:cs="Arial"/>
                <w:sz w:val="24"/>
                <w:szCs w:val="24"/>
              </w:rPr>
              <w:t>N/A</w:t>
            </w:r>
          </w:p>
        </w:tc>
        <w:tc>
          <w:tcPr>
            <w:tcW w:w="1885" w:type="dxa"/>
            <w:shd w:val="clear" w:color="auto" w:fill="auto"/>
          </w:tcPr>
          <w:p w14:paraId="032FE1F5" w14:textId="77777777" w:rsidR="00642327" w:rsidRPr="00183103" w:rsidRDefault="00642327" w:rsidP="003A05C5">
            <w:pPr>
              <w:rPr>
                <w:rFonts w:ascii="Arial" w:hAnsi="Arial" w:cs="Arial"/>
                <w:sz w:val="24"/>
                <w:szCs w:val="24"/>
              </w:rPr>
            </w:pPr>
            <w:r w:rsidRPr="00183103">
              <w:rPr>
                <w:rFonts w:ascii="Arial" w:hAnsi="Arial" w:cs="Arial"/>
                <w:sz w:val="24"/>
                <w:szCs w:val="24"/>
              </w:rPr>
              <w:t>N/A</w:t>
            </w:r>
          </w:p>
        </w:tc>
      </w:tr>
    </w:tbl>
    <w:p w14:paraId="5A168F82" w14:textId="77777777" w:rsidR="00642327" w:rsidRDefault="00642327" w:rsidP="00921E11">
      <w:pPr>
        <w:widowControl w:val="0"/>
        <w:tabs>
          <w:tab w:val="left" w:pos="7200"/>
        </w:tabs>
        <w:autoSpaceDE w:val="0"/>
        <w:autoSpaceDN w:val="0"/>
        <w:adjustRightInd w:val="0"/>
        <w:spacing w:after="0" w:line="240" w:lineRule="auto"/>
        <w:rPr>
          <w:rFonts w:ascii="Arial" w:hAnsi="Arial" w:cs="Arial"/>
          <w:color w:val="333333"/>
          <w:sz w:val="24"/>
          <w:szCs w:val="24"/>
          <w:shd w:val="clear" w:color="auto" w:fill="FFFFFF"/>
        </w:rPr>
      </w:pPr>
    </w:p>
    <w:bookmarkEnd w:id="0"/>
    <w:p w14:paraId="6BB4D614" w14:textId="3353D7D4" w:rsidR="007F23E2" w:rsidRPr="00183103" w:rsidRDefault="002D3E84" w:rsidP="00921E11">
      <w:pPr>
        <w:widowControl w:val="0"/>
        <w:tabs>
          <w:tab w:val="left" w:pos="7200"/>
        </w:tabs>
        <w:autoSpaceDE w:val="0"/>
        <w:autoSpaceDN w:val="0"/>
        <w:adjustRightInd w:val="0"/>
        <w:spacing w:after="0" w:line="240" w:lineRule="auto"/>
        <w:rPr>
          <w:rFonts w:ascii="Arial" w:hAnsi="Arial" w:cs="Arial"/>
          <w:sz w:val="24"/>
          <w:szCs w:val="24"/>
        </w:rPr>
      </w:pPr>
      <w:r w:rsidRPr="00183103">
        <w:rPr>
          <w:rFonts w:ascii="Arial" w:hAnsi="Arial" w:cs="Arial"/>
          <w:sz w:val="24"/>
          <w:szCs w:val="24"/>
          <w:shd w:val="clear" w:color="auto" w:fill="FFFFFF"/>
        </w:rPr>
        <w:t xml:space="preserve">The updated template will be used jointly by the U.S. Army Corps of Engineers’ (USACE) South Pacific Division's Sacramento, San Francisco, and Los Angeles Districts, along with the </w:t>
      </w:r>
      <w:r w:rsidR="003C7EBB" w:rsidRPr="002D3E84">
        <w:rPr>
          <w:rFonts w:ascii="Arial" w:hAnsi="Arial" w:cs="Arial"/>
          <w:sz w:val="24"/>
          <w:szCs w:val="24"/>
        </w:rPr>
        <w:t xml:space="preserve">USFWS, </w:t>
      </w:r>
      <w:r w:rsidR="003C7EBB">
        <w:rPr>
          <w:rFonts w:ascii="Arial" w:hAnsi="Arial" w:cs="Arial"/>
          <w:sz w:val="24"/>
          <w:szCs w:val="24"/>
        </w:rPr>
        <w:t>CDFW, CNRA, NMFS, EPA, State Water Board, and the NRCS</w:t>
      </w:r>
      <w:r w:rsidRPr="00183103">
        <w:rPr>
          <w:rFonts w:ascii="Arial" w:hAnsi="Arial" w:cs="Arial"/>
          <w:sz w:val="24"/>
          <w:szCs w:val="24"/>
          <w:shd w:val="clear" w:color="auto" w:fill="FFFFFF"/>
        </w:rPr>
        <w:t xml:space="preserve">, as potential participants in Interagency Review Teams (IRT). As always, we will continue to discuss the experiences of </w:t>
      </w:r>
      <w:r w:rsidR="00EA16DF">
        <w:rPr>
          <w:rFonts w:ascii="Arial" w:hAnsi="Arial" w:cs="Arial"/>
          <w:sz w:val="24"/>
          <w:szCs w:val="24"/>
          <w:shd w:val="clear" w:color="auto" w:fill="FFFFFF"/>
        </w:rPr>
        <w:t>bank sponsors</w:t>
      </w:r>
      <w:r w:rsidRPr="00183103">
        <w:rPr>
          <w:rFonts w:ascii="Arial" w:hAnsi="Arial" w:cs="Arial"/>
          <w:sz w:val="24"/>
          <w:szCs w:val="24"/>
          <w:shd w:val="clear" w:color="auto" w:fill="FFFFFF"/>
        </w:rPr>
        <w:t xml:space="preserve"> and others in using </w:t>
      </w:r>
      <w:r w:rsidR="00B6670B" w:rsidRPr="00183103">
        <w:rPr>
          <w:rFonts w:ascii="Arial" w:hAnsi="Arial" w:cs="Arial"/>
          <w:sz w:val="24"/>
          <w:szCs w:val="24"/>
          <w:shd w:val="clear" w:color="auto" w:fill="FFFFFF"/>
        </w:rPr>
        <w:t>th</w:t>
      </w:r>
      <w:r w:rsidR="00B6670B">
        <w:rPr>
          <w:rFonts w:ascii="Arial" w:hAnsi="Arial" w:cs="Arial"/>
          <w:sz w:val="24"/>
          <w:szCs w:val="24"/>
          <w:shd w:val="clear" w:color="auto" w:fill="FFFFFF"/>
        </w:rPr>
        <w:t>is</w:t>
      </w:r>
      <w:r w:rsidR="00B6670B" w:rsidRPr="00183103">
        <w:rPr>
          <w:rFonts w:ascii="Arial" w:hAnsi="Arial" w:cs="Arial"/>
          <w:sz w:val="24"/>
          <w:szCs w:val="24"/>
          <w:shd w:val="clear" w:color="auto" w:fill="FFFFFF"/>
        </w:rPr>
        <w:t xml:space="preserve"> </w:t>
      </w:r>
      <w:r w:rsidRPr="00183103">
        <w:rPr>
          <w:rFonts w:ascii="Arial" w:hAnsi="Arial" w:cs="Arial"/>
          <w:sz w:val="24"/>
          <w:szCs w:val="24"/>
          <w:shd w:val="clear" w:color="auto" w:fill="FFFFFF"/>
        </w:rPr>
        <w:t>template to inform potential future changes. This notice, as well as the original notice of the proposed updates, may be viewed at: </w:t>
      </w:r>
      <w:hyperlink r:id="rId7" w:tgtFrame="blank" w:history="1">
        <w:r w:rsidRPr="00183103">
          <w:rPr>
            <w:rStyle w:val="Hyperlink"/>
            <w:rFonts w:ascii="Arial" w:hAnsi="Arial" w:cs="Arial"/>
            <w:color w:val="auto"/>
            <w:sz w:val="24"/>
            <w:szCs w:val="24"/>
            <w:shd w:val="clear" w:color="auto" w:fill="FFFFFF"/>
          </w:rPr>
          <w:t>http://www.spd.usace.army.mil/Missions/Regulatory/PublicNoticesandReferences.aspx</w:t>
        </w:r>
      </w:hyperlink>
      <w:r w:rsidRPr="00183103">
        <w:rPr>
          <w:rFonts w:ascii="Arial" w:hAnsi="Arial" w:cs="Arial"/>
          <w:sz w:val="24"/>
          <w:szCs w:val="24"/>
          <w:shd w:val="clear" w:color="auto" w:fill="FFFFFF"/>
        </w:rPr>
        <w:t>.</w:t>
      </w:r>
    </w:p>
    <w:p w14:paraId="1385B83A" w14:textId="77777777" w:rsidR="00921E11" w:rsidRPr="00910D48" w:rsidRDefault="00921E11" w:rsidP="00921E11">
      <w:pPr>
        <w:widowControl w:val="0"/>
        <w:tabs>
          <w:tab w:val="left" w:pos="7200"/>
        </w:tabs>
        <w:autoSpaceDE w:val="0"/>
        <w:autoSpaceDN w:val="0"/>
        <w:adjustRightInd w:val="0"/>
        <w:spacing w:after="0" w:line="240" w:lineRule="auto"/>
        <w:rPr>
          <w:rFonts w:ascii="Arial" w:hAnsi="Arial" w:cs="Arial"/>
          <w:sz w:val="24"/>
          <w:szCs w:val="24"/>
        </w:rPr>
      </w:pPr>
    </w:p>
    <w:p w14:paraId="0BF93F66" w14:textId="63C07BEF" w:rsidR="007F23E2" w:rsidRPr="00910D48" w:rsidRDefault="007F23E2" w:rsidP="00921E11">
      <w:pPr>
        <w:spacing w:after="0" w:line="240" w:lineRule="auto"/>
        <w:rPr>
          <w:rFonts w:ascii="Arial" w:hAnsi="Arial" w:cs="Arial"/>
          <w:sz w:val="24"/>
          <w:szCs w:val="24"/>
        </w:rPr>
      </w:pPr>
      <w:r w:rsidRPr="00910D48">
        <w:rPr>
          <w:rFonts w:ascii="Arial" w:hAnsi="Arial" w:cs="Arial"/>
          <w:b/>
          <w:sz w:val="24"/>
          <w:szCs w:val="24"/>
        </w:rPr>
        <w:t>AUTHORITY</w:t>
      </w:r>
      <w:r w:rsidR="004E7BC8">
        <w:rPr>
          <w:rFonts w:ascii="Arial" w:hAnsi="Arial" w:cs="Arial"/>
          <w:b/>
          <w:sz w:val="24"/>
          <w:szCs w:val="24"/>
        </w:rPr>
        <w:t xml:space="preserve">: </w:t>
      </w:r>
      <w:r w:rsidR="002D3E84" w:rsidRPr="002D3E84">
        <w:rPr>
          <w:rFonts w:ascii="Arial" w:hAnsi="Arial" w:cs="Arial"/>
          <w:sz w:val="24"/>
          <w:szCs w:val="24"/>
        </w:rPr>
        <w:t xml:space="preserve">The template will be used in the development of mitigation banks, which provide mitigation for impacts from projects which have received authorizations to proceed under the authorities of Section 10 of the Rivers and Harbors Act of 1899 for structures or work in or affecting navigable waters of the United States and/or Section 404 of the Clean Water Act for the discharge of dredged or fill material in waters of the United States. Additionally, </w:t>
      </w:r>
      <w:r w:rsidR="00183103">
        <w:rPr>
          <w:rFonts w:ascii="Arial" w:hAnsi="Arial" w:cs="Arial"/>
          <w:sz w:val="24"/>
          <w:szCs w:val="24"/>
        </w:rPr>
        <w:t xml:space="preserve">this template </w:t>
      </w:r>
      <w:r w:rsidR="00B6670B">
        <w:rPr>
          <w:rFonts w:ascii="Arial" w:hAnsi="Arial" w:cs="Arial"/>
          <w:sz w:val="24"/>
          <w:szCs w:val="24"/>
        </w:rPr>
        <w:t xml:space="preserve">will </w:t>
      </w:r>
      <w:r w:rsidR="002D3E84" w:rsidRPr="002D3E84">
        <w:rPr>
          <w:rFonts w:ascii="Arial" w:hAnsi="Arial" w:cs="Arial"/>
          <w:sz w:val="24"/>
          <w:szCs w:val="24"/>
        </w:rPr>
        <w:t xml:space="preserve">be used </w:t>
      </w:r>
      <w:r w:rsidR="00183103">
        <w:rPr>
          <w:rFonts w:ascii="Arial" w:hAnsi="Arial" w:cs="Arial"/>
          <w:sz w:val="24"/>
          <w:szCs w:val="24"/>
        </w:rPr>
        <w:t>for</w:t>
      </w:r>
      <w:r w:rsidR="002D3E84" w:rsidRPr="002D3E84">
        <w:rPr>
          <w:rFonts w:ascii="Arial" w:hAnsi="Arial" w:cs="Arial"/>
          <w:sz w:val="24"/>
          <w:szCs w:val="24"/>
        </w:rPr>
        <w:t xml:space="preserve"> mitigation banks </w:t>
      </w:r>
      <w:r w:rsidR="00183103">
        <w:rPr>
          <w:rFonts w:ascii="Arial" w:hAnsi="Arial" w:cs="Arial"/>
          <w:sz w:val="24"/>
          <w:szCs w:val="24"/>
        </w:rPr>
        <w:t>that also</w:t>
      </w:r>
      <w:r w:rsidR="002D3E84" w:rsidRPr="002D3E84">
        <w:rPr>
          <w:rFonts w:ascii="Arial" w:hAnsi="Arial" w:cs="Arial"/>
          <w:sz w:val="24"/>
          <w:szCs w:val="24"/>
        </w:rPr>
        <w:t xml:space="preserve"> propose to provide mitigation for projects which have been required to provide mitigation by USFWS, CDFW, NMFS, the State Water Board, and/or NRCS. These agencies have committed through the </w:t>
      </w:r>
      <w:r w:rsidR="00183103" w:rsidRPr="002D3E84">
        <w:rPr>
          <w:rFonts w:ascii="Arial" w:hAnsi="Arial" w:cs="Arial"/>
          <w:sz w:val="24"/>
          <w:szCs w:val="24"/>
        </w:rPr>
        <w:t>above-mentioned</w:t>
      </w:r>
      <w:r w:rsidR="002D3E84" w:rsidRPr="002D3E84">
        <w:rPr>
          <w:rFonts w:ascii="Arial" w:hAnsi="Arial" w:cs="Arial"/>
          <w:sz w:val="24"/>
          <w:szCs w:val="24"/>
        </w:rPr>
        <w:t xml:space="preserve"> MOU to establishing a combined and coordinated approach to mitigation and conservation banking throughout the State of California. </w:t>
      </w:r>
      <w:r w:rsidR="00183103">
        <w:rPr>
          <w:rFonts w:ascii="Arial" w:hAnsi="Arial" w:cs="Arial"/>
          <w:sz w:val="24"/>
          <w:szCs w:val="24"/>
        </w:rPr>
        <w:t>This template</w:t>
      </w:r>
      <w:r w:rsidR="002D3E84" w:rsidRPr="002D3E84">
        <w:rPr>
          <w:rFonts w:ascii="Arial" w:hAnsi="Arial" w:cs="Arial"/>
          <w:sz w:val="24"/>
          <w:szCs w:val="24"/>
        </w:rPr>
        <w:t xml:space="preserve"> reflect</w:t>
      </w:r>
      <w:r w:rsidR="00183103">
        <w:rPr>
          <w:rFonts w:ascii="Arial" w:hAnsi="Arial" w:cs="Arial"/>
          <w:sz w:val="24"/>
          <w:szCs w:val="24"/>
        </w:rPr>
        <w:t>s</w:t>
      </w:r>
      <w:r w:rsidR="002D3E84" w:rsidRPr="002D3E84">
        <w:rPr>
          <w:rFonts w:ascii="Arial" w:hAnsi="Arial" w:cs="Arial"/>
          <w:sz w:val="24"/>
          <w:szCs w:val="24"/>
        </w:rPr>
        <w:t xml:space="preserve"> existing regulations, policies, and guidance and represent</w:t>
      </w:r>
      <w:r w:rsidR="00B6670B">
        <w:rPr>
          <w:rFonts w:ascii="Arial" w:hAnsi="Arial" w:cs="Arial"/>
          <w:sz w:val="24"/>
          <w:szCs w:val="24"/>
        </w:rPr>
        <w:t>s</w:t>
      </w:r>
      <w:r w:rsidR="002D3E84" w:rsidRPr="002D3E84">
        <w:rPr>
          <w:rFonts w:ascii="Arial" w:hAnsi="Arial" w:cs="Arial"/>
          <w:sz w:val="24"/>
          <w:szCs w:val="24"/>
        </w:rPr>
        <w:t xml:space="preserve"> the way in which USACE, USFWS, </w:t>
      </w:r>
      <w:r w:rsidR="00810DBC">
        <w:rPr>
          <w:rFonts w:ascii="Arial" w:hAnsi="Arial" w:cs="Arial"/>
          <w:sz w:val="24"/>
          <w:szCs w:val="24"/>
        </w:rPr>
        <w:t>CDFW, CNRA, NMFS, EPA, State Water Board, and the NRCS</w:t>
      </w:r>
      <w:r w:rsidR="002D3E84" w:rsidRPr="002D3E84">
        <w:rPr>
          <w:rFonts w:ascii="Arial" w:hAnsi="Arial" w:cs="Arial"/>
          <w:sz w:val="24"/>
          <w:szCs w:val="24"/>
        </w:rPr>
        <w:t xml:space="preserve"> intend to implement and provide a consistent approach to mitigation and conservation banking proposals.  </w:t>
      </w:r>
    </w:p>
    <w:p w14:paraId="7401D39D" w14:textId="77777777" w:rsidR="00921E11" w:rsidRPr="00910D48" w:rsidRDefault="00921E11" w:rsidP="00921E11">
      <w:pPr>
        <w:spacing w:after="0" w:line="240" w:lineRule="auto"/>
        <w:rPr>
          <w:rFonts w:ascii="Arial" w:hAnsi="Arial" w:cs="Arial"/>
          <w:sz w:val="24"/>
          <w:szCs w:val="24"/>
        </w:rPr>
      </w:pPr>
    </w:p>
    <w:p w14:paraId="056B80D0" w14:textId="77777777" w:rsidR="0050176B" w:rsidRPr="00910D48" w:rsidRDefault="0050176B" w:rsidP="00921E11">
      <w:pPr>
        <w:spacing w:after="0" w:line="240" w:lineRule="auto"/>
        <w:rPr>
          <w:rFonts w:ascii="Arial" w:hAnsi="Arial" w:cs="Arial"/>
          <w:sz w:val="24"/>
          <w:szCs w:val="24"/>
        </w:rPr>
      </w:pPr>
    </w:p>
    <w:p w14:paraId="08395959" w14:textId="070E6A9F" w:rsidR="007F23E2" w:rsidRPr="009D655D" w:rsidRDefault="007F23E2" w:rsidP="00921E11">
      <w:pPr>
        <w:spacing w:after="0" w:line="240" w:lineRule="auto"/>
        <w:rPr>
          <w:rFonts w:ascii="Arial" w:hAnsi="Arial" w:cs="Arial"/>
          <w:sz w:val="24"/>
          <w:szCs w:val="24"/>
        </w:rPr>
      </w:pPr>
      <w:r w:rsidRPr="00910D48">
        <w:rPr>
          <w:rFonts w:ascii="Arial" w:hAnsi="Arial" w:cs="Arial"/>
          <w:b/>
          <w:sz w:val="24"/>
          <w:szCs w:val="24"/>
        </w:rPr>
        <w:t>Attachments</w:t>
      </w:r>
      <w:r w:rsidR="004E7BC8">
        <w:rPr>
          <w:rFonts w:ascii="Arial" w:hAnsi="Arial" w:cs="Arial"/>
          <w:b/>
          <w:sz w:val="24"/>
          <w:szCs w:val="24"/>
        </w:rPr>
        <w:t xml:space="preserve">: </w:t>
      </w:r>
      <w:r w:rsidR="002D3E84">
        <w:rPr>
          <w:rFonts w:ascii="Arial" w:hAnsi="Arial" w:cs="Arial"/>
          <w:b/>
          <w:sz w:val="24"/>
          <w:szCs w:val="24"/>
        </w:rPr>
        <w:t>November 4, 2024 BEI template</w:t>
      </w:r>
    </w:p>
    <w:p w14:paraId="1B255E23" w14:textId="77777777" w:rsidR="008241E8" w:rsidRPr="00910D48" w:rsidRDefault="008241E8">
      <w:pPr>
        <w:spacing w:after="0" w:line="240" w:lineRule="auto"/>
        <w:rPr>
          <w:rFonts w:ascii="Arial" w:hAnsi="Arial" w:cs="Arial"/>
          <w:sz w:val="24"/>
          <w:szCs w:val="24"/>
        </w:rPr>
      </w:pPr>
    </w:p>
    <w:sectPr w:rsidR="008241E8" w:rsidRPr="00910D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EE92" w14:textId="77777777" w:rsidR="00EE0816" w:rsidRDefault="00EE0816" w:rsidP="00C25E66">
      <w:pPr>
        <w:spacing w:after="0" w:line="240" w:lineRule="auto"/>
      </w:pPr>
      <w:r>
        <w:separator/>
      </w:r>
    </w:p>
  </w:endnote>
  <w:endnote w:type="continuationSeparator" w:id="0">
    <w:p w14:paraId="320540F8" w14:textId="77777777" w:rsidR="00EE0816" w:rsidRDefault="00EE0816" w:rsidP="00C2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BA40" w14:textId="77777777" w:rsidR="000528BD" w:rsidRDefault="00052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56E4" w14:textId="77777777" w:rsidR="000528BD" w:rsidRDefault="00052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1261" w14:textId="77777777" w:rsidR="000528BD" w:rsidRDefault="00052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94FD" w14:textId="77777777" w:rsidR="00EE0816" w:rsidRDefault="00EE0816" w:rsidP="00C25E66">
      <w:pPr>
        <w:spacing w:after="0" w:line="240" w:lineRule="auto"/>
      </w:pPr>
      <w:r>
        <w:separator/>
      </w:r>
    </w:p>
  </w:footnote>
  <w:footnote w:type="continuationSeparator" w:id="0">
    <w:p w14:paraId="27615C04" w14:textId="77777777" w:rsidR="00EE0816" w:rsidRDefault="00EE0816" w:rsidP="00C2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5779" w14:textId="77777777" w:rsidR="000528BD" w:rsidRDefault="0005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D869" w14:textId="77777777" w:rsidR="000528BD" w:rsidRDefault="00052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4989" w14:textId="77777777" w:rsidR="000528BD" w:rsidRDefault="00052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78F"/>
    <w:multiLevelType w:val="hybridMultilevel"/>
    <w:tmpl w:val="FFFFFFFF"/>
    <w:lvl w:ilvl="0" w:tplc="A08CBE8E">
      <w:start w:val="1"/>
      <w:numFmt w:val="decimal"/>
      <w:lvlText w:val="%1."/>
      <w:lvlJc w:val="left"/>
      <w:pPr>
        <w:ind w:left="1080" w:hanging="360"/>
      </w:pPr>
      <w:rPr>
        <w:rFonts w:eastAsia="Times New Roman"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C50011"/>
    <w:multiLevelType w:val="hybridMultilevel"/>
    <w:tmpl w:val="FFFFFFFF"/>
    <w:lvl w:ilvl="0" w:tplc="EE223F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2905885"/>
    <w:multiLevelType w:val="hybridMultilevel"/>
    <w:tmpl w:val="FFFFFFFF"/>
    <w:lvl w:ilvl="0" w:tplc="987C444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560BBE"/>
    <w:multiLevelType w:val="hybridMultilevel"/>
    <w:tmpl w:val="FFFFFFFF"/>
    <w:lvl w:ilvl="0" w:tplc="628E77D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EBF4769"/>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F69384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BDF4A40"/>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05962642">
    <w:abstractNumId w:val="5"/>
  </w:num>
  <w:num w:numId="2" w16cid:durableId="251553102">
    <w:abstractNumId w:val="4"/>
  </w:num>
  <w:num w:numId="3" w16cid:durableId="855071875">
    <w:abstractNumId w:val="0"/>
  </w:num>
  <w:num w:numId="4" w16cid:durableId="1482110991">
    <w:abstractNumId w:val="6"/>
  </w:num>
  <w:num w:numId="5" w16cid:durableId="1571958751">
    <w:abstractNumId w:val="1"/>
  </w:num>
  <w:num w:numId="6" w16cid:durableId="922370615">
    <w:abstractNumId w:val="2"/>
  </w:num>
  <w:num w:numId="7" w16cid:durableId="204678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10"/>
    <w:rsid w:val="00026C05"/>
    <w:rsid w:val="000528BD"/>
    <w:rsid w:val="00072022"/>
    <w:rsid w:val="000871AF"/>
    <w:rsid w:val="000A3610"/>
    <w:rsid w:val="000D3DDE"/>
    <w:rsid w:val="00146DE7"/>
    <w:rsid w:val="00181997"/>
    <w:rsid w:val="00183103"/>
    <w:rsid w:val="001C54E0"/>
    <w:rsid w:val="00211535"/>
    <w:rsid w:val="00252E69"/>
    <w:rsid w:val="00264E42"/>
    <w:rsid w:val="002702A5"/>
    <w:rsid w:val="002A75C5"/>
    <w:rsid w:val="002D3E84"/>
    <w:rsid w:val="003A6562"/>
    <w:rsid w:val="003B62D1"/>
    <w:rsid w:val="003C7EBB"/>
    <w:rsid w:val="003D3564"/>
    <w:rsid w:val="003F2C54"/>
    <w:rsid w:val="004046D0"/>
    <w:rsid w:val="0043684C"/>
    <w:rsid w:val="00444E2B"/>
    <w:rsid w:val="004450EF"/>
    <w:rsid w:val="0047327C"/>
    <w:rsid w:val="004C0E7B"/>
    <w:rsid w:val="004C688D"/>
    <w:rsid w:val="004E1AE2"/>
    <w:rsid w:val="004E1B22"/>
    <w:rsid w:val="004E7BC8"/>
    <w:rsid w:val="004F57C5"/>
    <w:rsid w:val="0050176B"/>
    <w:rsid w:val="005214E5"/>
    <w:rsid w:val="005419B2"/>
    <w:rsid w:val="00553B94"/>
    <w:rsid w:val="0056067B"/>
    <w:rsid w:val="00577403"/>
    <w:rsid w:val="00582A6E"/>
    <w:rsid w:val="005A6BA6"/>
    <w:rsid w:val="005B4059"/>
    <w:rsid w:val="005D392C"/>
    <w:rsid w:val="00640B50"/>
    <w:rsid w:val="00642327"/>
    <w:rsid w:val="006A359F"/>
    <w:rsid w:val="006C7F79"/>
    <w:rsid w:val="006D4C80"/>
    <w:rsid w:val="006E3020"/>
    <w:rsid w:val="007227E1"/>
    <w:rsid w:val="00767B33"/>
    <w:rsid w:val="00776C34"/>
    <w:rsid w:val="007924C2"/>
    <w:rsid w:val="007C3798"/>
    <w:rsid w:val="007F23E2"/>
    <w:rsid w:val="007F771C"/>
    <w:rsid w:val="00810DBC"/>
    <w:rsid w:val="008241E8"/>
    <w:rsid w:val="008255C7"/>
    <w:rsid w:val="0085751B"/>
    <w:rsid w:val="008B1F6F"/>
    <w:rsid w:val="008D4F44"/>
    <w:rsid w:val="008D7E43"/>
    <w:rsid w:val="008E0498"/>
    <w:rsid w:val="00903BB7"/>
    <w:rsid w:val="00910D48"/>
    <w:rsid w:val="00920136"/>
    <w:rsid w:val="00921E11"/>
    <w:rsid w:val="009275E9"/>
    <w:rsid w:val="00972685"/>
    <w:rsid w:val="009C3801"/>
    <w:rsid w:val="009D655D"/>
    <w:rsid w:val="009F09C2"/>
    <w:rsid w:val="00A16BF3"/>
    <w:rsid w:val="00A35262"/>
    <w:rsid w:val="00A37547"/>
    <w:rsid w:val="00A47459"/>
    <w:rsid w:val="00A60504"/>
    <w:rsid w:val="00B00A49"/>
    <w:rsid w:val="00B012FD"/>
    <w:rsid w:val="00B03171"/>
    <w:rsid w:val="00B22614"/>
    <w:rsid w:val="00B6670B"/>
    <w:rsid w:val="00B73FA3"/>
    <w:rsid w:val="00B80035"/>
    <w:rsid w:val="00B850FC"/>
    <w:rsid w:val="00B95F39"/>
    <w:rsid w:val="00BB4B88"/>
    <w:rsid w:val="00BD6524"/>
    <w:rsid w:val="00BF4E00"/>
    <w:rsid w:val="00C25E66"/>
    <w:rsid w:val="00C312F1"/>
    <w:rsid w:val="00C6160C"/>
    <w:rsid w:val="00C73030"/>
    <w:rsid w:val="00C816E9"/>
    <w:rsid w:val="00C8359F"/>
    <w:rsid w:val="00CB4B13"/>
    <w:rsid w:val="00CE4952"/>
    <w:rsid w:val="00D163C8"/>
    <w:rsid w:val="00D2699C"/>
    <w:rsid w:val="00D357C9"/>
    <w:rsid w:val="00D5247A"/>
    <w:rsid w:val="00D73476"/>
    <w:rsid w:val="00D7740F"/>
    <w:rsid w:val="00DC4CFC"/>
    <w:rsid w:val="00DC7473"/>
    <w:rsid w:val="00E008F8"/>
    <w:rsid w:val="00E03C69"/>
    <w:rsid w:val="00E1383D"/>
    <w:rsid w:val="00E205FE"/>
    <w:rsid w:val="00E44FB6"/>
    <w:rsid w:val="00E71C8F"/>
    <w:rsid w:val="00EA16DF"/>
    <w:rsid w:val="00EE0816"/>
    <w:rsid w:val="00F117F5"/>
    <w:rsid w:val="00F6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235B0"/>
  <w14:defaultImageDpi w14:val="96"/>
  <w15:docId w15:val="{3A1249CF-D614-4EC0-9D95-FCCA21C6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3610"/>
    <w:rPr>
      <w:rFonts w:cs="Times New Roman"/>
      <w:b/>
      <w:bCs/>
    </w:rPr>
  </w:style>
  <w:style w:type="character" w:styleId="Hyperlink">
    <w:name w:val="Hyperlink"/>
    <w:basedOn w:val="DefaultParagraphFont"/>
    <w:uiPriority w:val="99"/>
    <w:unhideWhenUsed/>
    <w:rsid w:val="000A3610"/>
    <w:rPr>
      <w:rFonts w:cs="Times New Roman"/>
      <w:color w:val="517768"/>
      <w:u w:val="none"/>
      <w:effect w:val="none"/>
      <w:bdr w:val="none" w:sz="0" w:space="0" w:color="auto" w:frame="1"/>
    </w:rPr>
  </w:style>
  <w:style w:type="paragraph" w:styleId="ListParagraph">
    <w:name w:val="List Paragraph"/>
    <w:basedOn w:val="Normal"/>
    <w:uiPriority w:val="34"/>
    <w:qFormat/>
    <w:rsid w:val="00B73FA3"/>
    <w:pPr>
      <w:ind w:left="720"/>
      <w:contextualSpacing/>
    </w:pPr>
  </w:style>
  <w:style w:type="character" w:styleId="FollowedHyperlink">
    <w:name w:val="FollowedHyperlink"/>
    <w:basedOn w:val="DefaultParagraphFont"/>
    <w:uiPriority w:val="99"/>
    <w:semiHidden/>
    <w:unhideWhenUsed/>
    <w:rsid w:val="008B1F6F"/>
    <w:rPr>
      <w:rFonts w:cs="Times New Roman"/>
      <w:color w:val="954F72" w:themeColor="followedHyperlink"/>
      <w:u w:val="single"/>
    </w:rPr>
  </w:style>
  <w:style w:type="character" w:customStyle="1" w:styleId="dablack1">
    <w:name w:val="da_black1"/>
    <w:basedOn w:val="DefaultParagraphFont"/>
    <w:rsid w:val="00A37547"/>
    <w:rPr>
      <w:rFonts w:cs="Times New Roman"/>
      <w:color w:val="000000"/>
    </w:rPr>
  </w:style>
  <w:style w:type="paragraph" w:styleId="Header">
    <w:name w:val="header"/>
    <w:basedOn w:val="Normal"/>
    <w:link w:val="HeaderChar"/>
    <w:uiPriority w:val="99"/>
    <w:unhideWhenUsed/>
    <w:rsid w:val="00C25E6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5E66"/>
    <w:rPr>
      <w:rFonts w:cs="Times New Roman"/>
    </w:rPr>
  </w:style>
  <w:style w:type="paragraph" w:styleId="Footer">
    <w:name w:val="footer"/>
    <w:basedOn w:val="Normal"/>
    <w:link w:val="FooterChar"/>
    <w:uiPriority w:val="99"/>
    <w:unhideWhenUsed/>
    <w:rsid w:val="00C25E6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5E66"/>
    <w:rPr>
      <w:rFonts w:cs="Times New Roman"/>
    </w:rPr>
  </w:style>
  <w:style w:type="paragraph" w:styleId="BalloonText">
    <w:name w:val="Balloon Text"/>
    <w:basedOn w:val="Normal"/>
    <w:link w:val="BalloonTextChar"/>
    <w:uiPriority w:val="99"/>
    <w:semiHidden/>
    <w:unhideWhenUsed/>
    <w:rsid w:val="00052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528BD"/>
    <w:rPr>
      <w:rFonts w:ascii="Segoe UI" w:hAnsi="Segoe UI" w:cs="Segoe UI"/>
      <w:sz w:val="18"/>
      <w:szCs w:val="18"/>
    </w:rPr>
  </w:style>
  <w:style w:type="character" w:styleId="CommentReference">
    <w:name w:val="annotation reference"/>
    <w:basedOn w:val="DefaultParagraphFont"/>
    <w:uiPriority w:val="99"/>
    <w:semiHidden/>
    <w:unhideWhenUsed/>
    <w:rsid w:val="000528BD"/>
    <w:rPr>
      <w:rFonts w:cs="Times New Roman"/>
      <w:sz w:val="16"/>
      <w:szCs w:val="16"/>
    </w:rPr>
  </w:style>
  <w:style w:type="paragraph" w:styleId="CommentText">
    <w:name w:val="annotation text"/>
    <w:basedOn w:val="Normal"/>
    <w:link w:val="CommentTextChar"/>
    <w:uiPriority w:val="99"/>
    <w:unhideWhenUsed/>
    <w:rsid w:val="000528BD"/>
    <w:pPr>
      <w:spacing w:line="240" w:lineRule="auto"/>
    </w:pPr>
    <w:rPr>
      <w:sz w:val="20"/>
      <w:szCs w:val="20"/>
    </w:rPr>
  </w:style>
  <w:style w:type="character" w:customStyle="1" w:styleId="CommentTextChar">
    <w:name w:val="Comment Text Char"/>
    <w:basedOn w:val="DefaultParagraphFont"/>
    <w:link w:val="CommentText"/>
    <w:uiPriority w:val="99"/>
    <w:locked/>
    <w:rsid w:val="000528BD"/>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28BD"/>
    <w:rPr>
      <w:b/>
      <w:bCs/>
    </w:rPr>
  </w:style>
  <w:style w:type="character" w:customStyle="1" w:styleId="CommentSubjectChar">
    <w:name w:val="Comment Subject Char"/>
    <w:basedOn w:val="CommentTextChar"/>
    <w:link w:val="CommentSubject"/>
    <w:uiPriority w:val="99"/>
    <w:semiHidden/>
    <w:locked/>
    <w:rsid w:val="000528BD"/>
    <w:rPr>
      <w:rFonts w:cs="Times New Roman"/>
      <w:b/>
      <w:bCs/>
      <w:sz w:val="20"/>
      <w:szCs w:val="20"/>
    </w:rPr>
  </w:style>
  <w:style w:type="table" w:styleId="TableGrid">
    <w:name w:val="Table Grid"/>
    <w:basedOn w:val="TableNormal"/>
    <w:uiPriority w:val="39"/>
    <w:rsid w:val="00642327"/>
    <w:pPr>
      <w:spacing w:after="0" w:line="240" w:lineRule="auto"/>
    </w:pPr>
    <w:rPr>
      <w:rFonts w:eastAsia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6BF3"/>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74868">
      <w:marLeft w:val="0"/>
      <w:marRight w:val="0"/>
      <w:marTop w:val="0"/>
      <w:marBottom w:val="0"/>
      <w:divBdr>
        <w:top w:val="none" w:sz="0" w:space="0" w:color="auto"/>
        <w:left w:val="none" w:sz="0" w:space="0" w:color="auto"/>
        <w:bottom w:val="none" w:sz="0" w:space="0" w:color="auto"/>
        <w:right w:val="none" w:sz="0" w:space="0" w:color="auto"/>
      </w:divBdr>
      <w:divsChild>
        <w:div w:id="1149174882">
          <w:marLeft w:val="0"/>
          <w:marRight w:val="0"/>
          <w:marTop w:val="0"/>
          <w:marBottom w:val="0"/>
          <w:divBdr>
            <w:top w:val="none" w:sz="0" w:space="0" w:color="auto"/>
            <w:left w:val="none" w:sz="0" w:space="0" w:color="auto"/>
            <w:bottom w:val="none" w:sz="0" w:space="0" w:color="auto"/>
            <w:right w:val="none" w:sz="0" w:space="0" w:color="auto"/>
          </w:divBdr>
          <w:divsChild>
            <w:div w:id="1149174870">
              <w:marLeft w:val="0"/>
              <w:marRight w:val="0"/>
              <w:marTop w:val="0"/>
              <w:marBottom w:val="0"/>
              <w:divBdr>
                <w:top w:val="none" w:sz="0" w:space="0" w:color="auto"/>
                <w:left w:val="none" w:sz="0" w:space="0" w:color="auto"/>
                <w:bottom w:val="none" w:sz="0" w:space="0" w:color="auto"/>
                <w:right w:val="none" w:sz="0" w:space="0" w:color="auto"/>
              </w:divBdr>
              <w:divsChild>
                <w:div w:id="1149174869">
                  <w:marLeft w:val="300"/>
                  <w:marRight w:val="300"/>
                  <w:marTop w:val="0"/>
                  <w:marBottom w:val="0"/>
                  <w:divBdr>
                    <w:top w:val="none" w:sz="0" w:space="0" w:color="auto"/>
                    <w:left w:val="none" w:sz="0" w:space="0" w:color="auto"/>
                    <w:bottom w:val="none" w:sz="0" w:space="0" w:color="auto"/>
                    <w:right w:val="none" w:sz="0" w:space="0" w:color="auto"/>
                  </w:divBdr>
                  <w:divsChild>
                    <w:div w:id="1149174880">
                      <w:marLeft w:val="0"/>
                      <w:marRight w:val="0"/>
                      <w:marTop w:val="0"/>
                      <w:marBottom w:val="0"/>
                      <w:divBdr>
                        <w:top w:val="none" w:sz="0" w:space="0" w:color="auto"/>
                        <w:left w:val="none" w:sz="0" w:space="0" w:color="auto"/>
                        <w:bottom w:val="none" w:sz="0" w:space="0" w:color="auto"/>
                        <w:right w:val="none" w:sz="0" w:space="0" w:color="auto"/>
                      </w:divBdr>
                      <w:divsChild>
                        <w:div w:id="1149174883">
                          <w:marLeft w:val="0"/>
                          <w:marRight w:val="0"/>
                          <w:marTop w:val="0"/>
                          <w:marBottom w:val="0"/>
                          <w:divBdr>
                            <w:top w:val="single" w:sz="2" w:space="0" w:color="000000"/>
                            <w:left w:val="single" w:sz="2" w:space="0" w:color="000000"/>
                            <w:bottom w:val="single" w:sz="2" w:space="0" w:color="000000"/>
                            <w:right w:val="single" w:sz="2" w:space="0" w:color="000000"/>
                          </w:divBdr>
                          <w:divsChild>
                            <w:div w:id="1149174876">
                              <w:marLeft w:val="0"/>
                              <w:marRight w:val="0"/>
                              <w:marTop w:val="0"/>
                              <w:marBottom w:val="0"/>
                              <w:divBdr>
                                <w:top w:val="none" w:sz="0" w:space="0" w:color="auto"/>
                                <w:left w:val="none" w:sz="0" w:space="0" w:color="auto"/>
                                <w:bottom w:val="none" w:sz="0" w:space="0" w:color="auto"/>
                                <w:right w:val="none" w:sz="0" w:space="0" w:color="auto"/>
                              </w:divBdr>
                              <w:divsChild>
                                <w:div w:id="1149174859">
                                  <w:marLeft w:val="0"/>
                                  <w:marRight w:val="0"/>
                                  <w:marTop w:val="0"/>
                                  <w:marBottom w:val="0"/>
                                  <w:divBdr>
                                    <w:top w:val="none" w:sz="0" w:space="0" w:color="auto"/>
                                    <w:left w:val="none" w:sz="0" w:space="0" w:color="auto"/>
                                    <w:bottom w:val="none" w:sz="0" w:space="0" w:color="auto"/>
                                    <w:right w:val="none" w:sz="0" w:space="0" w:color="auto"/>
                                  </w:divBdr>
                                  <w:divsChild>
                                    <w:div w:id="1149174867">
                                      <w:marLeft w:val="0"/>
                                      <w:marRight w:val="0"/>
                                      <w:marTop w:val="0"/>
                                      <w:marBottom w:val="0"/>
                                      <w:divBdr>
                                        <w:top w:val="none" w:sz="0" w:space="0" w:color="auto"/>
                                        <w:left w:val="none" w:sz="0" w:space="0" w:color="auto"/>
                                        <w:bottom w:val="none" w:sz="0" w:space="0" w:color="auto"/>
                                        <w:right w:val="none" w:sz="0" w:space="0" w:color="auto"/>
                                      </w:divBdr>
                                      <w:divsChild>
                                        <w:div w:id="1149174865">
                                          <w:marLeft w:val="0"/>
                                          <w:marRight w:val="0"/>
                                          <w:marTop w:val="0"/>
                                          <w:marBottom w:val="0"/>
                                          <w:divBdr>
                                            <w:top w:val="none" w:sz="0" w:space="0" w:color="auto"/>
                                            <w:left w:val="none" w:sz="0" w:space="0" w:color="auto"/>
                                            <w:bottom w:val="none" w:sz="0" w:space="0" w:color="auto"/>
                                            <w:right w:val="none" w:sz="0" w:space="0" w:color="auto"/>
                                          </w:divBdr>
                                          <w:divsChild>
                                            <w:div w:id="1149174862">
                                              <w:marLeft w:val="0"/>
                                              <w:marRight w:val="0"/>
                                              <w:marTop w:val="0"/>
                                              <w:marBottom w:val="0"/>
                                              <w:divBdr>
                                                <w:top w:val="none" w:sz="0" w:space="0" w:color="auto"/>
                                                <w:left w:val="none" w:sz="0" w:space="0" w:color="auto"/>
                                                <w:bottom w:val="none" w:sz="0" w:space="0" w:color="auto"/>
                                                <w:right w:val="none" w:sz="0" w:space="0" w:color="auto"/>
                                              </w:divBdr>
                                              <w:divsChild>
                                                <w:div w:id="1149174873">
                                                  <w:marLeft w:val="720"/>
                                                  <w:marRight w:val="0"/>
                                                  <w:marTop w:val="100"/>
                                                  <w:marBottom w:val="100"/>
                                                  <w:divBdr>
                                                    <w:top w:val="none" w:sz="0" w:space="0" w:color="auto"/>
                                                    <w:left w:val="none" w:sz="0" w:space="0" w:color="auto"/>
                                                    <w:bottom w:val="none" w:sz="0" w:space="0" w:color="auto"/>
                                                    <w:right w:val="none" w:sz="0" w:space="0" w:color="auto"/>
                                                  </w:divBdr>
                                                  <w:divsChild>
                                                    <w:div w:id="1149174860">
                                                      <w:marLeft w:val="720"/>
                                                      <w:marRight w:val="0"/>
                                                      <w:marTop w:val="100"/>
                                                      <w:marBottom w:val="100"/>
                                                      <w:divBdr>
                                                        <w:top w:val="none" w:sz="0" w:space="0" w:color="auto"/>
                                                        <w:left w:val="none" w:sz="0" w:space="0" w:color="auto"/>
                                                        <w:bottom w:val="none" w:sz="0" w:space="0" w:color="auto"/>
                                                        <w:right w:val="none" w:sz="0" w:space="0" w:color="auto"/>
                                                      </w:divBdr>
                                                      <w:divsChild>
                                                        <w:div w:id="1149174857">
                                                          <w:marLeft w:val="720"/>
                                                          <w:marRight w:val="0"/>
                                                          <w:marTop w:val="100"/>
                                                          <w:marBottom w:val="100"/>
                                                          <w:divBdr>
                                                            <w:top w:val="none" w:sz="0" w:space="0" w:color="auto"/>
                                                            <w:left w:val="none" w:sz="0" w:space="0" w:color="auto"/>
                                                            <w:bottom w:val="none" w:sz="0" w:space="0" w:color="auto"/>
                                                            <w:right w:val="none" w:sz="0" w:space="0" w:color="auto"/>
                                                          </w:divBdr>
                                                        </w:div>
                                                        <w:div w:id="1149174858">
                                                          <w:marLeft w:val="720"/>
                                                          <w:marRight w:val="0"/>
                                                          <w:marTop w:val="100"/>
                                                          <w:marBottom w:val="100"/>
                                                          <w:divBdr>
                                                            <w:top w:val="none" w:sz="0" w:space="0" w:color="auto"/>
                                                            <w:left w:val="none" w:sz="0" w:space="0" w:color="auto"/>
                                                            <w:bottom w:val="none" w:sz="0" w:space="0" w:color="auto"/>
                                                            <w:right w:val="none" w:sz="0" w:space="0" w:color="auto"/>
                                                          </w:divBdr>
                                                        </w:div>
                                                        <w:div w:id="1149174863">
                                                          <w:marLeft w:val="720"/>
                                                          <w:marRight w:val="0"/>
                                                          <w:marTop w:val="100"/>
                                                          <w:marBottom w:val="100"/>
                                                          <w:divBdr>
                                                            <w:top w:val="none" w:sz="0" w:space="0" w:color="auto"/>
                                                            <w:left w:val="none" w:sz="0" w:space="0" w:color="auto"/>
                                                            <w:bottom w:val="none" w:sz="0" w:space="0" w:color="auto"/>
                                                            <w:right w:val="none" w:sz="0" w:space="0" w:color="auto"/>
                                                          </w:divBdr>
                                                        </w:div>
                                                        <w:div w:id="1149174864">
                                                          <w:marLeft w:val="720"/>
                                                          <w:marRight w:val="0"/>
                                                          <w:marTop w:val="100"/>
                                                          <w:marBottom w:val="100"/>
                                                          <w:divBdr>
                                                            <w:top w:val="none" w:sz="0" w:space="0" w:color="auto"/>
                                                            <w:left w:val="none" w:sz="0" w:space="0" w:color="auto"/>
                                                            <w:bottom w:val="none" w:sz="0" w:space="0" w:color="auto"/>
                                                            <w:right w:val="none" w:sz="0" w:space="0" w:color="auto"/>
                                                          </w:divBdr>
                                                        </w:div>
                                                        <w:div w:id="1149174871">
                                                          <w:marLeft w:val="720"/>
                                                          <w:marRight w:val="0"/>
                                                          <w:marTop w:val="100"/>
                                                          <w:marBottom w:val="100"/>
                                                          <w:divBdr>
                                                            <w:top w:val="none" w:sz="0" w:space="0" w:color="auto"/>
                                                            <w:left w:val="none" w:sz="0" w:space="0" w:color="auto"/>
                                                            <w:bottom w:val="none" w:sz="0" w:space="0" w:color="auto"/>
                                                            <w:right w:val="none" w:sz="0" w:space="0" w:color="auto"/>
                                                          </w:divBdr>
                                                        </w:div>
                                                        <w:div w:id="1149174872">
                                                          <w:marLeft w:val="720"/>
                                                          <w:marRight w:val="0"/>
                                                          <w:marTop w:val="100"/>
                                                          <w:marBottom w:val="100"/>
                                                          <w:divBdr>
                                                            <w:top w:val="none" w:sz="0" w:space="0" w:color="auto"/>
                                                            <w:left w:val="none" w:sz="0" w:space="0" w:color="auto"/>
                                                            <w:bottom w:val="none" w:sz="0" w:space="0" w:color="auto"/>
                                                            <w:right w:val="none" w:sz="0" w:space="0" w:color="auto"/>
                                                          </w:divBdr>
                                                        </w:div>
                                                        <w:div w:id="1149174874">
                                                          <w:marLeft w:val="720"/>
                                                          <w:marRight w:val="0"/>
                                                          <w:marTop w:val="100"/>
                                                          <w:marBottom w:val="100"/>
                                                          <w:divBdr>
                                                            <w:top w:val="none" w:sz="0" w:space="0" w:color="auto"/>
                                                            <w:left w:val="none" w:sz="0" w:space="0" w:color="auto"/>
                                                            <w:bottom w:val="none" w:sz="0" w:space="0" w:color="auto"/>
                                                            <w:right w:val="none" w:sz="0" w:space="0" w:color="auto"/>
                                                          </w:divBdr>
                                                        </w:div>
                                                        <w:div w:id="1149174875">
                                                          <w:marLeft w:val="720"/>
                                                          <w:marRight w:val="0"/>
                                                          <w:marTop w:val="100"/>
                                                          <w:marBottom w:val="100"/>
                                                          <w:divBdr>
                                                            <w:top w:val="none" w:sz="0" w:space="0" w:color="auto"/>
                                                            <w:left w:val="none" w:sz="0" w:space="0" w:color="auto"/>
                                                            <w:bottom w:val="none" w:sz="0" w:space="0" w:color="auto"/>
                                                            <w:right w:val="none" w:sz="0" w:space="0" w:color="auto"/>
                                                          </w:divBdr>
                                                        </w:div>
                                                        <w:div w:id="1149174877">
                                                          <w:marLeft w:val="720"/>
                                                          <w:marRight w:val="0"/>
                                                          <w:marTop w:val="100"/>
                                                          <w:marBottom w:val="100"/>
                                                          <w:divBdr>
                                                            <w:top w:val="none" w:sz="0" w:space="0" w:color="auto"/>
                                                            <w:left w:val="none" w:sz="0" w:space="0" w:color="auto"/>
                                                            <w:bottom w:val="none" w:sz="0" w:space="0" w:color="auto"/>
                                                            <w:right w:val="none" w:sz="0" w:space="0" w:color="auto"/>
                                                          </w:divBdr>
                                                        </w:div>
                                                        <w:div w:id="1149174879">
                                                          <w:marLeft w:val="720"/>
                                                          <w:marRight w:val="0"/>
                                                          <w:marTop w:val="100"/>
                                                          <w:marBottom w:val="100"/>
                                                          <w:divBdr>
                                                            <w:top w:val="none" w:sz="0" w:space="0" w:color="auto"/>
                                                            <w:left w:val="none" w:sz="0" w:space="0" w:color="auto"/>
                                                            <w:bottom w:val="none" w:sz="0" w:space="0" w:color="auto"/>
                                                            <w:right w:val="none" w:sz="0" w:space="0" w:color="auto"/>
                                                          </w:divBdr>
                                                        </w:div>
                                                      </w:divsChild>
                                                    </w:div>
                                                    <w:div w:id="1149174861">
                                                      <w:marLeft w:val="720"/>
                                                      <w:marRight w:val="0"/>
                                                      <w:marTop w:val="100"/>
                                                      <w:marBottom w:val="100"/>
                                                      <w:divBdr>
                                                        <w:top w:val="none" w:sz="0" w:space="0" w:color="auto"/>
                                                        <w:left w:val="none" w:sz="0" w:space="0" w:color="auto"/>
                                                        <w:bottom w:val="none" w:sz="0" w:space="0" w:color="auto"/>
                                                        <w:right w:val="none" w:sz="0" w:space="0" w:color="auto"/>
                                                      </w:divBdr>
                                                    </w:div>
                                                    <w:div w:id="1149174866">
                                                      <w:marLeft w:val="720"/>
                                                      <w:marRight w:val="0"/>
                                                      <w:marTop w:val="100"/>
                                                      <w:marBottom w:val="100"/>
                                                      <w:divBdr>
                                                        <w:top w:val="none" w:sz="0" w:space="0" w:color="auto"/>
                                                        <w:left w:val="none" w:sz="0" w:space="0" w:color="auto"/>
                                                        <w:bottom w:val="none" w:sz="0" w:space="0" w:color="auto"/>
                                                        <w:right w:val="none" w:sz="0" w:space="0" w:color="auto"/>
                                                      </w:divBdr>
                                                    </w:div>
                                                    <w:div w:id="1149174881">
                                                      <w:marLeft w:val="720"/>
                                                      <w:marRight w:val="0"/>
                                                      <w:marTop w:val="100"/>
                                                      <w:marBottom w:val="100"/>
                                                      <w:divBdr>
                                                        <w:top w:val="none" w:sz="0" w:space="0" w:color="auto"/>
                                                        <w:left w:val="none" w:sz="0" w:space="0" w:color="auto"/>
                                                        <w:bottom w:val="none" w:sz="0" w:space="0" w:color="auto"/>
                                                        <w:right w:val="none" w:sz="0" w:space="0" w:color="auto"/>
                                                      </w:divBdr>
                                                    </w:div>
                                                  </w:divsChild>
                                                </w:div>
                                                <w:div w:id="114917487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pd.usace.army.mil/Missions/Regulatory/PublicNoticesandReferences.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 Carpenter</dc:creator>
  <cp:keywords/>
  <dc:description/>
  <cp:lastModifiedBy>Laura Shively (USACE)</cp:lastModifiedBy>
  <cp:revision>5</cp:revision>
  <dcterms:created xsi:type="dcterms:W3CDTF">2024-10-31T15:35:00Z</dcterms:created>
  <dcterms:modified xsi:type="dcterms:W3CDTF">2024-11-01T16:30:00Z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